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2678" w14:textId="61F3CF47" w:rsidR="00FB2FC2" w:rsidRDefault="000B5466" w:rsidP="000B5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466">
        <w:rPr>
          <w:rFonts w:ascii="Times New Roman" w:hAnsi="Times New Roman" w:cs="Times New Roman"/>
          <w:sz w:val="24"/>
          <w:szCs w:val="24"/>
        </w:rPr>
        <w:t>SERVIÇOS ECOSSISTÊMICOS OFERTADOS P</w:t>
      </w:r>
      <w:r w:rsidR="008A5B55">
        <w:rPr>
          <w:rFonts w:ascii="Times New Roman" w:hAnsi="Times New Roman" w:cs="Times New Roman"/>
          <w:sz w:val="24"/>
          <w:szCs w:val="24"/>
        </w:rPr>
        <w:t>ELO</w:t>
      </w:r>
      <w:r w:rsidRPr="000B5466">
        <w:rPr>
          <w:rFonts w:ascii="Times New Roman" w:hAnsi="Times New Roman" w:cs="Times New Roman"/>
          <w:sz w:val="24"/>
          <w:szCs w:val="24"/>
        </w:rPr>
        <w:t xml:space="preserve"> PROJETO </w:t>
      </w:r>
      <w:r w:rsidRPr="00AB0930">
        <w:rPr>
          <w:rFonts w:ascii="Times New Roman" w:hAnsi="Times New Roman" w:cs="Times New Roman"/>
          <w:sz w:val="24"/>
          <w:szCs w:val="24"/>
        </w:rPr>
        <w:t>CESCOLA</w:t>
      </w:r>
    </w:p>
    <w:p w14:paraId="58F6CEFF" w14:textId="77777777" w:rsidR="009422DE" w:rsidRDefault="009422DE" w:rsidP="000B54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496C6" w14:textId="043084D9" w:rsidR="009422DE" w:rsidRDefault="009422DE" w:rsidP="000B5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2DE">
        <w:rPr>
          <w:rFonts w:ascii="Times New Roman" w:hAnsi="Times New Roman" w:cs="Times New Roman"/>
          <w:sz w:val="24"/>
          <w:szCs w:val="24"/>
        </w:rPr>
        <w:t>HIAGO TAVARES DE SOUZA</w:t>
      </w:r>
    </w:p>
    <w:p w14:paraId="33000025" w14:textId="77777777" w:rsidR="009467CC" w:rsidRDefault="009467CC" w:rsidP="000B54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CE2E78" w14:textId="099CCB19" w:rsidR="009422DE" w:rsidRDefault="009467CC" w:rsidP="000B5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7CC">
        <w:rPr>
          <w:rFonts w:ascii="Times New Roman" w:hAnsi="Times New Roman" w:cs="Times New Roman"/>
          <w:sz w:val="24"/>
          <w:szCs w:val="24"/>
        </w:rPr>
        <w:t>AFONSO AURÉLIO DE CARVALHO PERES</w:t>
      </w:r>
    </w:p>
    <w:p w14:paraId="61248A05" w14:textId="5C043C78" w:rsidR="009467CC" w:rsidRDefault="009467CC" w:rsidP="000B5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7CC">
        <w:rPr>
          <w:rFonts w:ascii="Times New Roman" w:hAnsi="Times New Roman" w:cs="Times New Roman"/>
          <w:sz w:val="24"/>
          <w:szCs w:val="24"/>
        </w:rPr>
        <w:t>ROBERTA FERNANDA DA PAZ DE SOUZA PAIVA</w:t>
      </w:r>
    </w:p>
    <w:p w14:paraId="3320F6BB" w14:textId="0FBB78B5" w:rsidR="009467CC" w:rsidRDefault="009467CC" w:rsidP="000B5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7CC">
        <w:rPr>
          <w:rFonts w:ascii="Times New Roman" w:hAnsi="Times New Roman" w:cs="Times New Roman"/>
          <w:sz w:val="24"/>
          <w:szCs w:val="24"/>
        </w:rPr>
        <w:t>ROBERTO GUIÃO DE SOUZA LIMA JÚNIOR</w:t>
      </w:r>
    </w:p>
    <w:p w14:paraId="3904E22C" w14:textId="77777777" w:rsidR="00C75EA3" w:rsidRDefault="00C75EA3" w:rsidP="00C75E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1688B" w14:textId="70FD7FB7" w:rsidR="00C75EA3" w:rsidRDefault="00C75EA3" w:rsidP="00C7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14:paraId="00832544" w14:textId="17E15FD5" w:rsidR="00A42874" w:rsidRDefault="00A42874" w:rsidP="00D13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30">
        <w:rPr>
          <w:rFonts w:ascii="Times New Roman" w:hAnsi="Times New Roman" w:cs="Times New Roman"/>
          <w:sz w:val="24"/>
          <w:szCs w:val="24"/>
        </w:rPr>
        <w:t>O Projeto CESCOLA integra ações de coleta seletiva, compostagem, hortas orgânicas</w:t>
      </w:r>
      <w:r w:rsidR="00F13BBC" w:rsidRPr="00AB0930">
        <w:rPr>
          <w:rFonts w:ascii="Times New Roman" w:hAnsi="Times New Roman" w:cs="Times New Roman"/>
          <w:sz w:val="24"/>
          <w:szCs w:val="24"/>
        </w:rPr>
        <w:t>, paisagismo</w:t>
      </w:r>
      <w:r w:rsidRPr="00AB0930">
        <w:rPr>
          <w:rFonts w:ascii="Times New Roman" w:hAnsi="Times New Roman" w:cs="Times New Roman"/>
          <w:sz w:val="24"/>
          <w:szCs w:val="24"/>
        </w:rPr>
        <w:t xml:space="preserve"> e educação ambiental em escolas </w:t>
      </w:r>
      <w:r w:rsidR="00F13BBC" w:rsidRPr="00AB0930">
        <w:rPr>
          <w:rFonts w:ascii="Times New Roman" w:hAnsi="Times New Roman" w:cs="Times New Roman"/>
          <w:sz w:val="24"/>
          <w:szCs w:val="24"/>
        </w:rPr>
        <w:t xml:space="preserve">públicas nos municípios </w:t>
      </w:r>
      <w:r w:rsidRPr="00AB0930">
        <w:rPr>
          <w:rFonts w:ascii="Times New Roman" w:hAnsi="Times New Roman" w:cs="Times New Roman"/>
          <w:sz w:val="24"/>
          <w:szCs w:val="24"/>
        </w:rPr>
        <w:t>de Paraty, Porto Real e Volta Redonda</w:t>
      </w:r>
      <w:r w:rsidR="00F13BBC" w:rsidRPr="00AB0930">
        <w:rPr>
          <w:rFonts w:ascii="Times New Roman" w:hAnsi="Times New Roman" w:cs="Times New Roman"/>
          <w:sz w:val="24"/>
          <w:szCs w:val="24"/>
        </w:rPr>
        <w:t xml:space="preserve">, </w:t>
      </w:r>
      <w:r w:rsidRPr="00AB0930">
        <w:rPr>
          <w:rFonts w:ascii="Times New Roman" w:hAnsi="Times New Roman" w:cs="Times New Roman"/>
          <w:sz w:val="24"/>
          <w:szCs w:val="24"/>
        </w:rPr>
        <w:t>RJ, visando à promoção do desenvolvimento sustentável. Este estudo teve como objetivo identificar</w:t>
      </w:r>
      <w:r w:rsidR="00803E78" w:rsidRPr="00AB0930">
        <w:rPr>
          <w:rFonts w:ascii="Times New Roman" w:hAnsi="Times New Roman" w:cs="Times New Roman"/>
          <w:sz w:val="24"/>
          <w:szCs w:val="24"/>
        </w:rPr>
        <w:t>, com base em pesquisa bibliográfica,</w:t>
      </w:r>
      <w:r w:rsidRPr="00AB0930">
        <w:rPr>
          <w:rFonts w:ascii="Times New Roman" w:hAnsi="Times New Roman" w:cs="Times New Roman"/>
          <w:sz w:val="24"/>
          <w:szCs w:val="24"/>
        </w:rPr>
        <w:t xml:space="preserve"> e quantificar os serviços ecossistêmicos fornecidos. Foram analisados resíduos tratados, emissões de CO₂ evitadas, produção agrícola e participação da comunidade escolar. Os resultados apontaram a oferta de serviços como fornecimento de alimentos, mitigação de GEE e fortalecimento da educação ambiental. No total, foram tratados 8,15 t de resíduos inorgânicos e 6,48 t de orgânicos, com mitigação </w:t>
      </w:r>
      <w:r w:rsidR="00AB0930">
        <w:rPr>
          <w:rFonts w:ascii="Times New Roman" w:hAnsi="Times New Roman" w:cs="Times New Roman"/>
          <w:sz w:val="24"/>
          <w:szCs w:val="24"/>
        </w:rPr>
        <w:t xml:space="preserve">total </w:t>
      </w:r>
      <w:r w:rsidRPr="00AB0930">
        <w:rPr>
          <w:rFonts w:ascii="Times New Roman" w:hAnsi="Times New Roman" w:cs="Times New Roman"/>
          <w:sz w:val="24"/>
          <w:szCs w:val="24"/>
        </w:rPr>
        <w:t xml:space="preserve">de </w:t>
      </w:r>
      <w:r w:rsidR="00AB0930">
        <w:rPr>
          <w:rFonts w:ascii="Times New Roman" w:hAnsi="Times New Roman" w:cs="Times New Roman"/>
          <w:sz w:val="24"/>
          <w:szCs w:val="24"/>
        </w:rPr>
        <w:t>14,873</w:t>
      </w:r>
      <w:r w:rsidRPr="00AB0930">
        <w:rPr>
          <w:rFonts w:ascii="Times New Roman" w:hAnsi="Times New Roman" w:cs="Times New Roman"/>
          <w:sz w:val="24"/>
          <w:szCs w:val="24"/>
        </w:rPr>
        <w:t xml:space="preserve"> t de CO₂-eq. As hortas produziram 49 kg de alimentos e registraram-se 1.138 participações, desta</w:t>
      </w:r>
      <w:r w:rsidR="00AB0930">
        <w:rPr>
          <w:rFonts w:ascii="Times New Roman" w:hAnsi="Times New Roman" w:cs="Times New Roman"/>
          <w:sz w:val="24"/>
          <w:szCs w:val="24"/>
        </w:rPr>
        <w:t>cando-se</w:t>
      </w:r>
      <w:r w:rsidRPr="00AB0930">
        <w:rPr>
          <w:rFonts w:ascii="Times New Roman" w:hAnsi="Times New Roman" w:cs="Times New Roman"/>
          <w:sz w:val="24"/>
          <w:szCs w:val="24"/>
        </w:rPr>
        <w:t xml:space="preserve"> o engajamento discente.</w:t>
      </w:r>
      <w:r w:rsidR="00A807A3" w:rsidRPr="00AB0930">
        <w:rPr>
          <w:rFonts w:ascii="Times New Roman" w:hAnsi="Times New Roman" w:cs="Times New Roman"/>
          <w:sz w:val="24"/>
          <w:szCs w:val="24"/>
        </w:rPr>
        <w:t xml:space="preserve"> </w:t>
      </w:r>
      <w:r w:rsidR="00812569" w:rsidRPr="00AB0930">
        <w:rPr>
          <w:rFonts w:ascii="Times New Roman" w:hAnsi="Times New Roman" w:cs="Times New Roman"/>
          <w:sz w:val="24"/>
          <w:szCs w:val="24"/>
        </w:rPr>
        <w:t>Portanto</w:t>
      </w:r>
      <w:r w:rsidR="008B7E59" w:rsidRPr="00AB0930">
        <w:rPr>
          <w:rFonts w:ascii="Times New Roman" w:hAnsi="Times New Roman" w:cs="Times New Roman"/>
          <w:sz w:val="24"/>
          <w:szCs w:val="24"/>
        </w:rPr>
        <w:t xml:space="preserve">, o </w:t>
      </w:r>
      <w:r w:rsidR="00A807A3" w:rsidRPr="00AB0930">
        <w:rPr>
          <w:rFonts w:ascii="Times New Roman" w:hAnsi="Times New Roman" w:cs="Times New Roman"/>
          <w:sz w:val="24"/>
          <w:szCs w:val="24"/>
        </w:rPr>
        <w:t xml:space="preserve">Projeto </w:t>
      </w:r>
      <w:r w:rsidR="00F13BBC" w:rsidRPr="00AB0930">
        <w:rPr>
          <w:rFonts w:ascii="Times New Roman" w:hAnsi="Times New Roman" w:cs="Times New Roman"/>
          <w:sz w:val="24"/>
          <w:szCs w:val="24"/>
        </w:rPr>
        <w:t>CESCOLA</w:t>
      </w:r>
      <w:r w:rsidR="00A807A3" w:rsidRPr="00AB0930">
        <w:rPr>
          <w:rFonts w:ascii="Times New Roman" w:hAnsi="Times New Roman" w:cs="Times New Roman"/>
          <w:sz w:val="24"/>
          <w:szCs w:val="24"/>
        </w:rPr>
        <w:t xml:space="preserve"> </w:t>
      </w:r>
      <w:r w:rsidR="00CC2EF5" w:rsidRPr="00AB0930">
        <w:rPr>
          <w:rFonts w:ascii="Times New Roman" w:hAnsi="Times New Roman" w:cs="Times New Roman"/>
          <w:sz w:val="24"/>
          <w:szCs w:val="24"/>
        </w:rPr>
        <w:t>pode</w:t>
      </w:r>
      <w:r w:rsidR="00A807A3" w:rsidRPr="00AB0930">
        <w:rPr>
          <w:rFonts w:ascii="Times New Roman" w:hAnsi="Times New Roman" w:cs="Times New Roman"/>
          <w:sz w:val="24"/>
          <w:szCs w:val="24"/>
        </w:rPr>
        <w:t xml:space="preserve"> promo</w:t>
      </w:r>
      <w:r w:rsidR="00CC2EF5" w:rsidRPr="00AB0930">
        <w:rPr>
          <w:rFonts w:ascii="Times New Roman" w:hAnsi="Times New Roman" w:cs="Times New Roman"/>
          <w:sz w:val="24"/>
          <w:szCs w:val="24"/>
        </w:rPr>
        <w:t>ver</w:t>
      </w:r>
      <w:r w:rsidR="00A807A3" w:rsidRPr="00AB0930">
        <w:rPr>
          <w:rFonts w:ascii="Times New Roman" w:hAnsi="Times New Roman" w:cs="Times New Roman"/>
          <w:sz w:val="24"/>
          <w:szCs w:val="24"/>
        </w:rPr>
        <w:t xml:space="preserve"> serviços ecossistêmicos e transformação socioambiental em contextos escolares.</w:t>
      </w:r>
    </w:p>
    <w:p w14:paraId="108FA82D" w14:textId="05839B78" w:rsidR="002766BF" w:rsidRDefault="002766BF" w:rsidP="00D13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educação ambiental, gerenciamento de resíduos, sustentabilidade.</w:t>
      </w:r>
    </w:p>
    <w:p w14:paraId="3D777841" w14:textId="77777777" w:rsidR="00767121" w:rsidRDefault="00767121" w:rsidP="00C75E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B4909" w14:textId="56593FC9" w:rsidR="00C75EA3" w:rsidRDefault="00C75EA3" w:rsidP="00C7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</w:t>
      </w:r>
    </w:p>
    <w:p w14:paraId="68E2D7A9" w14:textId="77777777" w:rsidR="00461C45" w:rsidRDefault="00461C45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F26982" w14:textId="1FCC1E46" w:rsidR="00754471" w:rsidRDefault="00754471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471">
        <w:rPr>
          <w:rFonts w:ascii="Times New Roman" w:hAnsi="Times New Roman" w:cs="Times New Roman"/>
          <w:sz w:val="24"/>
          <w:szCs w:val="24"/>
        </w:rPr>
        <w:t>A sociedade contemporânea enfrenta desafios cada vez mais complexos na busca por um modelo de desenvolvimento sustentável. Entre eles, destacam-se o aumento contínuo na geração de resíduos sólidos e sua disposição inadequada</w:t>
      </w:r>
      <w:r w:rsidR="00F3168B">
        <w:rPr>
          <w:rFonts w:ascii="Times New Roman" w:hAnsi="Times New Roman" w:cs="Times New Roman"/>
          <w:sz w:val="24"/>
          <w:szCs w:val="24"/>
        </w:rPr>
        <w:t xml:space="preserve">, </w:t>
      </w:r>
      <w:r w:rsidRPr="00754471">
        <w:rPr>
          <w:rFonts w:ascii="Times New Roman" w:hAnsi="Times New Roman" w:cs="Times New Roman"/>
          <w:sz w:val="24"/>
          <w:szCs w:val="24"/>
        </w:rPr>
        <w:t xml:space="preserve">a crescente insegurança alimentar em contextos urbanos vulneráveis. </w:t>
      </w:r>
      <w:r w:rsidR="0026766E">
        <w:rPr>
          <w:rFonts w:ascii="Times New Roman" w:hAnsi="Times New Roman" w:cs="Times New Roman"/>
          <w:sz w:val="24"/>
          <w:szCs w:val="24"/>
        </w:rPr>
        <w:t>A</w:t>
      </w:r>
      <w:r w:rsidRPr="00754471">
        <w:rPr>
          <w:rFonts w:ascii="Times New Roman" w:hAnsi="Times New Roman" w:cs="Times New Roman"/>
          <w:sz w:val="24"/>
          <w:szCs w:val="24"/>
        </w:rPr>
        <w:t>bordage</w:t>
      </w:r>
      <w:r w:rsidR="0026766E">
        <w:rPr>
          <w:rFonts w:ascii="Times New Roman" w:hAnsi="Times New Roman" w:cs="Times New Roman"/>
          <w:sz w:val="24"/>
          <w:szCs w:val="24"/>
        </w:rPr>
        <w:t>ns</w:t>
      </w:r>
      <w:r w:rsidRPr="00754471">
        <w:rPr>
          <w:rFonts w:ascii="Times New Roman" w:hAnsi="Times New Roman" w:cs="Times New Roman"/>
          <w:sz w:val="24"/>
          <w:szCs w:val="24"/>
        </w:rPr>
        <w:t xml:space="preserve"> integrada</w:t>
      </w:r>
      <w:r w:rsidR="0026766E">
        <w:rPr>
          <w:rFonts w:ascii="Times New Roman" w:hAnsi="Times New Roman" w:cs="Times New Roman"/>
          <w:sz w:val="24"/>
          <w:szCs w:val="24"/>
        </w:rPr>
        <w:t>s</w:t>
      </w:r>
      <w:r w:rsidRPr="00754471">
        <w:rPr>
          <w:rFonts w:ascii="Times New Roman" w:hAnsi="Times New Roman" w:cs="Times New Roman"/>
          <w:sz w:val="24"/>
          <w:szCs w:val="24"/>
        </w:rPr>
        <w:t xml:space="preserve"> que articulem justiça social, conservação ambiental e participação comunitária,</w:t>
      </w:r>
      <w:r w:rsidR="00ED3787">
        <w:rPr>
          <w:rFonts w:ascii="Times New Roman" w:hAnsi="Times New Roman" w:cs="Times New Roman"/>
          <w:sz w:val="24"/>
          <w:szCs w:val="24"/>
        </w:rPr>
        <w:t xml:space="preserve"> </w:t>
      </w:r>
      <w:r w:rsidR="0026766E">
        <w:rPr>
          <w:rFonts w:ascii="Times New Roman" w:hAnsi="Times New Roman" w:cs="Times New Roman"/>
          <w:sz w:val="24"/>
          <w:szCs w:val="24"/>
        </w:rPr>
        <w:t>são</w:t>
      </w:r>
      <w:r w:rsidR="00ED3787"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26766E">
        <w:rPr>
          <w:rFonts w:ascii="Times New Roman" w:hAnsi="Times New Roman" w:cs="Times New Roman"/>
          <w:sz w:val="24"/>
          <w:szCs w:val="24"/>
        </w:rPr>
        <w:t>s</w:t>
      </w:r>
      <w:r w:rsidR="00ED3787">
        <w:rPr>
          <w:rFonts w:ascii="Times New Roman" w:hAnsi="Times New Roman" w:cs="Times New Roman"/>
          <w:sz w:val="24"/>
          <w:szCs w:val="24"/>
        </w:rPr>
        <w:t xml:space="preserve">, </w:t>
      </w:r>
      <w:r w:rsidRPr="00754471">
        <w:rPr>
          <w:rFonts w:ascii="Times New Roman" w:hAnsi="Times New Roman" w:cs="Times New Roman"/>
          <w:sz w:val="24"/>
          <w:szCs w:val="24"/>
        </w:rPr>
        <w:t>desta</w:t>
      </w:r>
      <w:r w:rsidR="00AC44FD">
        <w:rPr>
          <w:rFonts w:ascii="Times New Roman" w:hAnsi="Times New Roman" w:cs="Times New Roman"/>
          <w:sz w:val="24"/>
          <w:szCs w:val="24"/>
        </w:rPr>
        <w:t xml:space="preserve">cando-se </w:t>
      </w:r>
      <w:r w:rsidRPr="00754471">
        <w:rPr>
          <w:rFonts w:ascii="Times New Roman" w:hAnsi="Times New Roman" w:cs="Times New Roman"/>
          <w:sz w:val="24"/>
          <w:szCs w:val="24"/>
        </w:rPr>
        <w:t>o papel estratégico da educação ambiental na construção de alternativas sustentáveis e transformadoras.</w:t>
      </w:r>
    </w:p>
    <w:p w14:paraId="0A4C42D0" w14:textId="6284CC7A" w:rsidR="00C75EA3" w:rsidRDefault="0037281E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81E">
        <w:rPr>
          <w:rFonts w:ascii="Times New Roman" w:hAnsi="Times New Roman" w:cs="Times New Roman"/>
          <w:sz w:val="24"/>
          <w:szCs w:val="24"/>
        </w:rPr>
        <w:lastRenderedPageBreak/>
        <w:t xml:space="preserve">A promulgação da Política Nacional de Resíduos Sólidos (PNRS) em 2010 representou um marco legal ao estabelecer diretrizes e responsabilidades para a gestão compartilhada dos resíduos no país, reconhecendo a educação ambiental como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37281E">
        <w:rPr>
          <w:rFonts w:ascii="Times New Roman" w:hAnsi="Times New Roman" w:cs="Times New Roman"/>
          <w:sz w:val="24"/>
          <w:szCs w:val="24"/>
        </w:rPr>
        <w:t xml:space="preserve">instrumento estratégico </w:t>
      </w:r>
      <w:r>
        <w:rPr>
          <w:rFonts w:ascii="Times New Roman" w:hAnsi="Times New Roman" w:cs="Times New Roman"/>
          <w:sz w:val="24"/>
          <w:szCs w:val="24"/>
        </w:rPr>
        <w:t>essencial neste processo</w:t>
      </w:r>
      <w:r w:rsidRPr="00372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281E">
        <w:rPr>
          <w:rFonts w:ascii="Times New Roman" w:hAnsi="Times New Roman" w:cs="Times New Roman"/>
          <w:sz w:val="24"/>
          <w:szCs w:val="24"/>
        </w:rPr>
        <w:t xml:space="preserve">Brasil, 2010). No contexto escolar, a implementação de planos de gerenciamento de resíduos e ações educativas voltadas à reciclagem, compostagem e redução do desperdício torna-se um </w:t>
      </w:r>
      <w:r w:rsidR="000D639C">
        <w:rPr>
          <w:rFonts w:ascii="Times New Roman" w:hAnsi="Times New Roman" w:cs="Times New Roman"/>
          <w:sz w:val="24"/>
          <w:szCs w:val="24"/>
        </w:rPr>
        <w:t>instrumento capaz</w:t>
      </w:r>
      <w:r w:rsidRPr="0037281E">
        <w:rPr>
          <w:rFonts w:ascii="Times New Roman" w:hAnsi="Times New Roman" w:cs="Times New Roman"/>
          <w:sz w:val="24"/>
          <w:szCs w:val="24"/>
        </w:rPr>
        <w:t xml:space="preserve"> de </w:t>
      </w:r>
      <w:r w:rsidR="00AA7551">
        <w:rPr>
          <w:rFonts w:ascii="Times New Roman" w:hAnsi="Times New Roman" w:cs="Times New Roman"/>
          <w:sz w:val="24"/>
          <w:szCs w:val="24"/>
        </w:rPr>
        <w:t xml:space="preserve">promover </w:t>
      </w:r>
      <w:r w:rsidRPr="0037281E">
        <w:rPr>
          <w:rFonts w:ascii="Times New Roman" w:hAnsi="Times New Roman" w:cs="Times New Roman"/>
          <w:sz w:val="24"/>
          <w:szCs w:val="24"/>
        </w:rPr>
        <w:t>mudança cultural, com efeitos multiplicadores para além dos muros da escola (</w:t>
      </w:r>
      <w:proofErr w:type="spellStart"/>
      <w:r w:rsidR="00E6587D" w:rsidRPr="00E6587D">
        <w:rPr>
          <w:rFonts w:ascii="Times New Roman" w:hAnsi="Times New Roman" w:cs="Times New Roman"/>
          <w:sz w:val="24"/>
          <w:szCs w:val="24"/>
        </w:rPr>
        <w:t>Walgenbach</w:t>
      </w:r>
      <w:proofErr w:type="spellEnd"/>
      <w:r w:rsidR="00E6587D">
        <w:rPr>
          <w:rFonts w:ascii="Times New Roman" w:hAnsi="Times New Roman" w:cs="Times New Roman"/>
          <w:sz w:val="24"/>
          <w:szCs w:val="24"/>
        </w:rPr>
        <w:t>; Graciano</w:t>
      </w:r>
      <w:r w:rsidR="00EC0E12">
        <w:rPr>
          <w:rFonts w:ascii="Times New Roman" w:hAnsi="Times New Roman" w:cs="Times New Roman"/>
          <w:sz w:val="24"/>
          <w:szCs w:val="24"/>
        </w:rPr>
        <w:t>;</w:t>
      </w:r>
      <w:r w:rsidR="00E6587D">
        <w:rPr>
          <w:rFonts w:ascii="Times New Roman" w:hAnsi="Times New Roman" w:cs="Times New Roman"/>
          <w:sz w:val="24"/>
          <w:szCs w:val="24"/>
        </w:rPr>
        <w:t xml:space="preserve"> Dias, 2025</w:t>
      </w:r>
      <w:r w:rsidRPr="0037281E">
        <w:rPr>
          <w:rFonts w:ascii="Times New Roman" w:hAnsi="Times New Roman" w:cs="Times New Roman"/>
          <w:sz w:val="24"/>
          <w:szCs w:val="24"/>
        </w:rPr>
        <w:t>).</w:t>
      </w:r>
    </w:p>
    <w:p w14:paraId="3D39D131" w14:textId="423D54BB" w:rsidR="00EC0E12" w:rsidRDefault="00EC0E12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C0E12">
        <w:rPr>
          <w:rFonts w:ascii="Times New Roman" w:hAnsi="Times New Roman" w:cs="Times New Roman"/>
          <w:sz w:val="24"/>
          <w:szCs w:val="24"/>
        </w:rPr>
        <w:t>stratégias integradas de educação ambiental,</w:t>
      </w:r>
      <w:r w:rsidR="00556FDC">
        <w:rPr>
          <w:rFonts w:ascii="Times New Roman" w:hAnsi="Times New Roman" w:cs="Times New Roman"/>
          <w:sz w:val="24"/>
          <w:szCs w:val="24"/>
        </w:rPr>
        <w:t xml:space="preserve"> reciclagem,</w:t>
      </w:r>
      <w:r w:rsidRPr="00EC0E12">
        <w:rPr>
          <w:rFonts w:ascii="Times New Roman" w:hAnsi="Times New Roman" w:cs="Times New Roman"/>
          <w:sz w:val="24"/>
          <w:szCs w:val="24"/>
        </w:rPr>
        <w:t xml:space="preserve"> compostagem e agricultura urbana emergem como soluções viáveis e replicáveis para a gestão sistêmica de resíduos sólidos e </w:t>
      </w:r>
      <w:r w:rsidR="00A0036D">
        <w:rPr>
          <w:rFonts w:ascii="Times New Roman" w:hAnsi="Times New Roman" w:cs="Times New Roman"/>
          <w:sz w:val="24"/>
          <w:szCs w:val="24"/>
        </w:rPr>
        <w:t>a manutenção da prestação</w:t>
      </w:r>
      <w:r w:rsidRPr="00EC0E12">
        <w:rPr>
          <w:rFonts w:ascii="Times New Roman" w:hAnsi="Times New Roman" w:cs="Times New Roman"/>
          <w:sz w:val="24"/>
          <w:szCs w:val="24"/>
        </w:rPr>
        <w:t xml:space="preserve"> dos serviços ecossistêmicos </w:t>
      </w:r>
      <w:r w:rsidR="00A0036D">
        <w:rPr>
          <w:rFonts w:ascii="Times New Roman" w:hAnsi="Times New Roman" w:cs="Times New Roman"/>
          <w:sz w:val="24"/>
          <w:szCs w:val="24"/>
        </w:rPr>
        <w:t xml:space="preserve">no meio </w:t>
      </w:r>
      <w:r w:rsidRPr="00EC0E12">
        <w:rPr>
          <w:rFonts w:ascii="Times New Roman" w:hAnsi="Times New Roman" w:cs="Times New Roman"/>
          <w:sz w:val="24"/>
          <w:szCs w:val="24"/>
        </w:rPr>
        <w:t>urbano</w:t>
      </w:r>
      <w:r w:rsidR="003117BB">
        <w:rPr>
          <w:rFonts w:ascii="Times New Roman" w:hAnsi="Times New Roman" w:cs="Times New Roman"/>
          <w:sz w:val="24"/>
          <w:szCs w:val="24"/>
        </w:rPr>
        <w:t xml:space="preserve"> (Melo</w:t>
      </w:r>
      <w:r w:rsidR="00671C95">
        <w:rPr>
          <w:rFonts w:ascii="Times New Roman" w:hAnsi="Times New Roman" w:cs="Times New Roman"/>
          <w:sz w:val="24"/>
          <w:szCs w:val="24"/>
        </w:rPr>
        <w:t>;</w:t>
      </w:r>
      <w:r w:rsidR="003117BB">
        <w:rPr>
          <w:rFonts w:ascii="Times New Roman" w:hAnsi="Times New Roman" w:cs="Times New Roman"/>
          <w:sz w:val="24"/>
          <w:szCs w:val="24"/>
        </w:rPr>
        <w:t xml:space="preserve"> Hora, 2023)</w:t>
      </w:r>
      <w:r w:rsidRPr="00EC0E12">
        <w:rPr>
          <w:rFonts w:ascii="Times New Roman" w:hAnsi="Times New Roman" w:cs="Times New Roman"/>
          <w:sz w:val="24"/>
          <w:szCs w:val="24"/>
        </w:rPr>
        <w:t>. Tais práticas não apenas contribuem para a redução de resíduos e a segurança alimentar, como também ressignificam espaços ociosos, promovem a convivência comunitária e estimulam a valorização dos saberes ecológicos locais (Moura; Ferreira; Lara, 2013).</w:t>
      </w:r>
    </w:p>
    <w:p w14:paraId="653A98C9" w14:textId="2BACE096" w:rsidR="006358B3" w:rsidRDefault="00385F36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CESCOLA surge c</w:t>
      </w:r>
      <w:r w:rsidR="006358B3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o</w:t>
      </w:r>
      <w:r w:rsidR="006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6358B3">
        <w:rPr>
          <w:rFonts w:ascii="Times New Roman" w:hAnsi="Times New Roman" w:cs="Times New Roman"/>
          <w:sz w:val="24"/>
          <w:szCs w:val="24"/>
        </w:rPr>
        <w:t xml:space="preserve">a proposta de </w:t>
      </w:r>
      <w:r w:rsidR="006358B3" w:rsidRPr="006358B3">
        <w:rPr>
          <w:rFonts w:ascii="Times New Roman" w:hAnsi="Times New Roman" w:cs="Times New Roman"/>
          <w:sz w:val="24"/>
          <w:szCs w:val="24"/>
        </w:rPr>
        <w:t>criação de Centros de Educação Ambiental (</w:t>
      </w:r>
      <w:proofErr w:type="spellStart"/>
      <w:r w:rsidR="006358B3" w:rsidRPr="006358B3">
        <w:rPr>
          <w:rFonts w:ascii="Times New Roman" w:hAnsi="Times New Roman" w:cs="Times New Roman"/>
          <w:sz w:val="24"/>
          <w:szCs w:val="24"/>
        </w:rPr>
        <w:t>CEAs</w:t>
      </w:r>
      <w:proofErr w:type="spellEnd"/>
      <w:r w:rsidR="006358B3" w:rsidRPr="006358B3">
        <w:rPr>
          <w:rFonts w:ascii="Times New Roman" w:hAnsi="Times New Roman" w:cs="Times New Roman"/>
          <w:sz w:val="24"/>
          <w:szCs w:val="24"/>
        </w:rPr>
        <w:t>) em escolas públicas</w:t>
      </w:r>
      <w:r w:rsidR="00372BA2">
        <w:rPr>
          <w:rFonts w:ascii="Times New Roman" w:hAnsi="Times New Roman" w:cs="Times New Roman"/>
          <w:sz w:val="24"/>
          <w:szCs w:val="24"/>
        </w:rPr>
        <w:t xml:space="preserve">, </w:t>
      </w:r>
      <w:r w:rsidR="00E05C06">
        <w:rPr>
          <w:rFonts w:ascii="Times New Roman" w:hAnsi="Times New Roman" w:cs="Times New Roman"/>
          <w:sz w:val="24"/>
          <w:szCs w:val="24"/>
        </w:rPr>
        <w:t>que visa a</w:t>
      </w:r>
      <w:r w:rsidR="00372BA2">
        <w:rPr>
          <w:rFonts w:ascii="Times New Roman" w:hAnsi="Times New Roman" w:cs="Times New Roman"/>
          <w:sz w:val="24"/>
          <w:szCs w:val="24"/>
        </w:rPr>
        <w:t xml:space="preserve"> </w:t>
      </w:r>
      <w:r w:rsidR="00913448" w:rsidRPr="00913448">
        <w:rPr>
          <w:rFonts w:ascii="Times New Roman" w:hAnsi="Times New Roman" w:cs="Times New Roman"/>
          <w:sz w:val="24"/>
          <w:szCs w:val="24"/>
        </w:rPr>
        <w:t xml:space="preserve">integração entre coleta seletiva, compostagem, hortas orgânicas e </w:t>
      </w:r>
      <w:r w:rsidR="00144C32">
        <w:rPr>
          <w:rFonts w:ascii="Times New Roman" w:hAnsi="Times New Roman" w:cs="Times New Roman"/>
          <w:sz w:val="24"/>
          <w:szCs w:val="24"/>
        </w:rPr>
        <w:t>ações práticas</w:t>
      </w:r>
      <w:r w:rsidR="00913448" w:rsidRPr="00913448">
        <w:rPr>
          <w:rFonts w:ascii="Times New Roman" w:hAnsi="Times New Roman" w:cs="Times New Roman"/>
          <w:sz w:val="24"/>
          <w:szCs w:val="24"/>
        </w:rPr>
        <w:t xml:space="preserve"> de educação ambiental.</w:t>
      </w:r>
      <w:r w:rsidR="00B41654">
        <w:rPr>
          <w:rFonts w:ascii="Times New Roman" w:hAnsi="Times New Roman" w:cs="Times New Roman"/>
          <w:sz w:val="24"/>
          <w:szCs w:val="24"/>
        </w:rPr>
        <w:t xml:space="preserve"> A</w:t>
      </w:r>
      <w:r w:rsidR="00921B4C">
        <w:rPr>
          <w:rFonts w:ascii="Times New Roman" w:hAnsi="Times New Roman" w:cs="Times New Roman"/>
          <w:sz w:val="24"/>
          <w:szCs w:val="24"/>
        </w:rPr>
        <w:t>ssim, estes conceitos tornam-se os temas</w:t>
      </w:r>
      <w:r w:rsidR="00BC6326">
        <w:rPr>
          <w:rFonts w:ascii="Times New Roman" w:hAnsi="Times New Roman" w:cs="Times New Roman"/>
          <w:sz w:val="24"/>
          <w:szCs w:val="24"/>
        </w:rPr>
        <w:t xml:space="preserve"> base para a</w:t>
      </w:r>
      <w:r w:rsidR="00921B4C">
        <w:rPr>
          <w:rFonts w:ascii="Times New Roman" w:hAnsi="Times New Roman" w:cs="Times New Roman"/>
          <w:sz w:val="24"/>
          <w:szCs w:val="24"/>
        </w:rPr>
        <w:t xml:space="preserve"> </w:t>
      </w:r>
      <w:r w:rsidR="00BC6326">
        <w:rPr>
          <w:rFonts w:ascii="Times New Roman" w:hAnsi="Times New Roman" w:cs="Times New Roman"/>
          <w:sz w:val="24"/>
          <w:szCs w:val="24"/>
        </w:rPr>
        <w:t>geração de conscientização ambiental</w:t>
      </w:r>
      <w:r w:rsidR="00BF2D67">
        <w:rPr>
          <w:rFonts w:ascii="Times New Roman" w:hAnsi="Times New Roman" w:cs="Times New Roman"/>
          <w:sz w:val="24"/>
          <w:szCs w:val="24"/>
        </w:rPr>
        <w:t xml:space="preserve">, </w:t>
      </w:r>
      <w:r w:rsidR="0031436E">
        <w:rPr>
          <w:rFonts w:ascii="Times New Roman" w:hAnsi="Times New Roman" w:cs="Times New Roman"/>
          <w:sz w:val="24"/>
          <w:szCs w:val="24"/>
        </w:rPr>
        <w:t>possibilitando transformações socioambientais a partir de ações locais.</w:t>
      </w:r>
    </w:p>
    <w:p w14:paraId="2B510077" w14:textId="77777777" w:rsidR="00A3408C" w:rsidRDefault="00A3408C" w:rsidP="00A34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E2DF9" w14:textId="796EECDD" w:rsidR="00A3408C" w:rsidRDefault="00A3408C" w:rsidP="00A34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</w:p>
    <w:p w14:paraId="59AF7BBC" w14:textId="77777777" w:rsidR="00C83320" w:rsidRDefault="00C83320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5192E3" w14:textId="410DE151" w:rsidR="00CB2E8D" w:rsidRDefault="00A3408C" w:rsidP="006D0A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92EA1">
        <w:rPr>
          <w:rFonts w:ascii="Times New Roman" w:hAnsi="Times New Roman" w:cs="Times New Roman"/>
          <w:sz w:val="24"/>
          <w:szCs w:val="24"/>
        </w:rPr>
        <w:t xml:space="preserve">dentificar e quantificar alguns dos principais serviços ecossistêmicos </w:t>
      </w:r>
      <w:r w:rsidR="005473E2">
        <w:rPr>
          <w:rFonts w:ascii="Times New Roman" w:hAnsi="Times New Roman" w:cs="Times New Roman"/>
          <w:sz w:val="24"/>
          <w:szCs w:val="24"/>
        </w:rPr>
        <w:t xml:space="preserve">fornecidos pelo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="005473E2" w:rsidRPr="00D13CA5">
        <w:rPr>
          <w:rFonts w:ascii="Times New Roman" w:hAnsi="Times New Roman" w:cs="Times New Roman"/>
          <w:sz w:val="24"/>
          <w:szCs w:val="24"/>
        </w:rPr>
        <w:t>.</w:t>
      </w:r>
    </w:p>
    <w:p w14:paraId="35AC66BF" w14:textId="77777777" w:rsidR="00D15B93" w:rsidRDefault="00D15B93" w:rsidP="00D15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32718" w14:textId="62848FF1" w:rsidR="00D15B93" w:rsidRDefault="00D15B93" w:rsidP="00D15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METODOLOGIA</w:t>
      </w:r>
    </w:p>
    <w:p w14:paraId="500BD383" w14:textId="77777777" w:rsidR="00C83320" w:rsidRDefault="00C83320" w:rsidP="002D39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10F56A" w14:textId="04B44CB8" w:rsidR="002D391B" w:rsidRPr="002D391B" w:rsidRDefault="002D391B" w:rsidP="002D39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91B">
        <w:rPr>
          <w:rFonts w:ascii="Times New Roman" w:hAnsi="Times New Roman" w:cs="Times New Roman"/>
          <w:sz w:val="24"/>
          <w:szCs w:val="24"/>
        </w:rPr>
        <w:t xml:space="preserve">Os serviços ecossistêmicos fornecidos pelas três unidades escolares participantes do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="00CF7051" w:rsidRPr="00D13CA5">
        <w:rPr>
          <w:rFonts w:ascii="Times New Roman" w:hAnsi="Times New Roman" w:cs="Times New Roman"/>
          <w:sz w:val="24"/>
          <w:szCs w:val="24"/>
        </w:rPr>
        <w:t xml:space="preserve"> (Paraty, Porto Real e Volta Redonda</w:t>
      </w:r>
      <w:r w:rsidR="00F13BBC" w:rsidRPr="00D13CA5">
        <w:rPr>
          <w:rFonts w:ascii="Times New Roman" w:hAnsi="Times New Roman" w:cs="Times New Roman"/>
          <w:sz w:val="24"/>
          <w:szCs w:val="24"/>
        </w:rPr>
        <w:t>, RJ)</w:t>
      </w:r>
      <w:r w:rsidRPr="002D391B">
        <w:rPr>
          <w:rFonts w:ascii="Times New Roman" w:hAnsi="Times New Roman" w:cs="Times New Roman"/>
          <w:sz w:val="24"/>
          <w:szCs w:val="24"/>
        </w:rPr>
        <w:t xml:space="preserve"> foram classificados em quatro </w:t>
      </w:r>
      <w:proofErr w:type="spellStart"/>
      <w:r w:rsidRPr="002D391B">
        <w:rPr>
          <w:rFonts w:ascii="Times New Roman" w:hAnsi="Times New Roman" w:cs="Times New Roman"/>
          <w:sz w:val="24"/>
          <w:szCs w:val="24"/>
        </w:rPr>
        <w:t>macrossegmentos</w:t>
      </w:r>
      <w:proofErr w:type="spellEnd"/>
      <w:r w:rsidRPr="002D391B">
        <w:rPr>
          <w:rFonts w:ascii="Times New Roman" w:hAnsi="Times New Roman" w:cs="Times New Roman"/>
          <w:sz w:val="24"/>
          <w:szCs w:val="24"/>
        </w:rPr>
        <w:t xml:space="preserve">, conforme a tipologia proposta pela Millennium </w:t>
      </w:r>
      <w:proofErr w:type="spellStart"/>
      <w:r w:rsidRPr="002D391B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Pr="002D391B">
        <w:rPr>
          <w:rFonts w:ascii="Times New Roman" w:hAnsi="Times New Roman" w:cs="Times New Roman"/>
          <w:sz w:val="24"/>
          <w:szCs w:val="24"/>
        </w:rPr>
        <w:t xml:space="preserve"> Assessment (MEA, 2005): serviços de provisão, serviços de regulação, serviços culturais e serviços de suporte.</w:t>
      </w:r>
    </w:p>
    <w:p w14:paraId="50A3BC99" w14:textId="2D1A37B3" w:rsidR="002D391B" w:rsidRDefault="002D391B" w:rsidP="002D39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91B">
        <w:rPr>
          <w:rFonts w:ascii="Times New Roman" w:hAnsi="Times New Roman" w:cs="Times New Roman"/>
          <w:sz w:val="24"/>
          <w:szCs w:val="24"/>
        </w:rPr>
        <w:lastRenderedPageBreak/>
        <w:t>A identificação dos serviços ecossistêmicos relacionados ao projeto foi realizada com base nos seus principais objetivos: reciclagem de resíduos secos, compostagem de resíduos orgânicos, implantação de horta orgânica e desenvolvimento de ações de educação ambiental. Para tanto, foi conduzida uma pesquisa bibliográfica na base de dados do Portal de Periódicos da CAPES, utilizando-se combinações das palavras-chave “reciclagem”, “compostagem”, “horta orgânica” e “educação ambiental” com o termo “serviços ecossistêmicos”, nos idiomas português e inglês.</w:t>
      </w:r>
    </w:p>
    <w:p w14:paraId="22E39B62" w14:textId="7954FC1E" w:rsidR="00914578" w:rsidRDefault="00914578" w:rsidP="002D39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578">
        <w:rPr>
          <w:rFonts w:ascii="Times New Roman" w:hAnsi="Times New Roman" w:cs="Times New Roman"/>
          <w:sz w:val="24"/>
          <w:szCs w:val="24"/>
        </w:rPr>
        <w:t xml:space="preserve">Após a identificação dos possíveis serviços ecossistêmicos oferecidos pelo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 w:cs="Times New Roman"/>
          <w:sz w:val="24"/>
          <w:szCs w:val="24"/>
        </w:rPr>
        <w:t>,</w:t>
      </w:r>
      <w:r w:rsidRPr="00914578">
        <w:rPr>
          <w:rFonts w:ascii="Times New Roman" w:hAnsi="Times New Roman" w:cs="Times New Roman"/>
          <w:sz w:val="24"/>
          <w:szCs w:val="24"/>
        </w:rPr>
        <w:t xml:space="preserve"> deu-se início à etapa de quantificação. Considerando a complexidade e a dificuldade inerente à mensuração de todos os serviços ecossistêmicos envolvidos, optou-se por selecionar, com base em critérios de viabilidade metodológica, aqueles serviços diretamente relacionados aos quatro principais eixos de atuação do projeto: reciclagem, compostagem, horta orgânica e educação ambiental. Esses serviços foram, então, submetidos à análise quantitativa de modo a evidenciar os benefícios mensuráveis gerados pelas ações desenvolvidas nas unidades escolares participantes.</w:t>
      </w:r>
    </w:p>
    <w:p w14:paraId="405F2B0F" w14:textId="1E03C52E" w:rsidR="00A16E54" w:rsidRDefault="00A16E54" w:rsidP="002D391B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54EEE">
        <w:rPr>
          <w:rFonts w:ascii="Times New Roman" w:hAnsi="Times New Roman"/>
          <w:bCs/>
          <w:sz w:val="24"/>
          <w:szCs w:val="24"/>
        </w:rPr>
        <w:t xml:space="preserve">De acordo com </w:t>
      </w:r>
      <w:bookmarkStart w:id="0" w:name="_Hlk166085055"/>
      <w:r w:rsidRPr="00954EEE">
        <w:rPr>
          <w:rFonts w:ascii="Times New Roman" w:hAnsi="Times New Roman"/>
          <w:bCs/>
          <w:sz w:val="24"/>
          <w:szCs w:val="24"/>
        </w:rPr>
        <w:t xml:space="preserve">King e </w:t>
      </w:r>
      <w:proofErr w:type="spellStart"/>
      <w:r w:rsidRPr="00954EEE">
        <w:rPr>
          <w:rFonts w:ascii="Times New Roman" w:hAnsi="Times New Roman"/>
          <w:bCs/>
          <w:sz w:val="24"/>
          <w:szCs w:val="24"/>
        </w:rPr>
        <w:t>Gutberlet</w:t>
      </w:r>
      <w:proofErr w:type="spellEnd"/>
      <w:r w:rsidRPr="00954EEE">
        <w:rPr>
          <w:rFonts w:ascii="Times New Roman" w:hAnsi="Times New Roman"/>
          <w:bCs/>
          <w:sz w:val="24"/>
          <w:szCs w:val="24"/>
        </w:rPr>
        <w:t xml:space="preserve"> (2013)</w:t>
      </w:r>
      <w:bookmarkEnd w:id="0"/>
      <w:r w:rsidRPr="00954EEE">
        <w:rPr>
          <w:rFonts w:ascii="Times New Roman" w:hAnsi="Times New Roman"/>
          <w:bCs/>
          <w:sz w:val="24"/>
          <w:szCs w:val="24"/>
        </w:rPr>
        <w:t xml:space="preserve">, para cada tonelada de material reciclado obtêm-se uma redução média de </w:t>
      </w:r>
      <w:r w:rsidRPr="00B721FA">
        <w:rPr>
          <w:rFonts w:ascii="Times New Roman" w:hAnsi="Times New Roman"/>
          <w:bCs/>
          <w:sz w:val="24"/>
          <w:szCs w:val="24"/>
        </w:rPr>
        <w:t xml:space="preserve">0,77 t </w:t>
      </w:r>
      <w:r w:rsidRPr="00954EEE">
        <w:rPr>
          <w:rFonts w:ascii="Times New Roman" w:hAnsi="Times New Roman"/>
          <w:bCs/>
          <w:sz w:val="24"/>
          <w:szCs w:val="24"/>
        </w:rPr>
        <w:t>CO</w:t>
      </w:r>
      <w:r w:rsidRPr="00867774">
        <w:rPr>
          <w:rFonts w:ascii="Times New Roman" w:hAnsi="Times New Roman"/>
          <w:bCs/>
          <w:sz w:val="24"/>
          <w:szCs w:val="24"/>
          <w:vertAlign w:val="subscript"/>
        </w:rPr>
        <w:t>2-eq</w:t>
      </w:r>
      <w:r>
        <w:rPr>
          <w:rFonts w:ascii="Times New Roman" w:hAnsi="Times New Roman"/>
          <w:bCs/>
          <w:sz w:val="24"/>
          <w:szCs w:val="24"/>
        </w:rPr>
        <w:t>, além de uma economia</w:t>
      </w:r>
      <w:r w:rsidRPr="009775DF">
        <w:rPr>
          <w:rFonts w:ascii="Times New Roman" w:hAnsi="Times New Roman"/>
          <w:bCs/>
          <w:sz w:val="24"/>
          <w:szCs w:val="24"/>
        </w:rPr>
        <w:t xml:space="preserve"> média 5,67 MW h/tonelada de RS reciclados.</w:t>
      </w:r>
      <w:r>
        <w:rPr>
          <w:rFonts w:ascii="Times New Roman" w:hAnsi="Times New Roman"/>
          <w:bCs/>
          <w:sz w:val="24"/>
          <w:szCs w:val="24"/>
        </w:rPr>
        <w:t xml:space="preserve"> A</w:t>
      </w:r>
      <w:r w:rsidRPr="00A349E8">
        <w:rPr>
          <w:rFonts w:ascii="Times New Roman" w:hAnsi="Times New Roman"/>
          <w:bCs/>
          <w:sz w:val="24"/>
          <w:szCs w:val="24"/>
        </w:rPr>
        <w:t xml:space="preserve"> economia no consumo de energia </w:t>
      </w:r>
      <w:r>
        <w:rPr>
          <w:rFonts w:ascii="Times New Roman" w:hAnsi="Times New Roman"/>
          <w:bCs/>
          <w:sz w:val="24"/>
          <w:szCs w:val="24"/>
        </w:rPr>
        <w:t xml:space="preserve">também </w:t>
      </w:r>
      <w:r w:rsidRPr="00A349E8">
        <w:rPr>
          <w:rFonts w:ascii="Times New Roman" w:hAnsi="Times New Roman"/>
          <w:bCs/>
          <w:sz w:val="24"/>
          <w:szCs w:val="24"/>
        </w:rPr>
        <w:t xml:space="preserve">possibilita a mitigação </w:t>
      </w:r>
      <w:r>
        <w:rPr>
          <w:rFonts w:ascii="Times New Roman" w:hAnsi="Times New Roman"/>
          <w:bCs/>
          <w:sz w:val="24"/>
          <w:szCs w:val="24"/>
        </w:rPr>
        <w:t xml:space="preserve">nas emissões </w:t>
      </w:r>
      <w:r w:rsidRPr="00A349E8">
        <w:rPr>
          <w:rFonts w:ascii="Times New Roman" w:hAnsi="Times New Roman"/>
          <w:bCs/>
          <w:sz w:val="24"/>
          <w:szCs w:val="24"/>
        </w:rPr>
        <w:t>de CO</w:t>
      </w:r>
      <w:r w:rsidRPr="00012D75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A349E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sendo </w:t>
      </w:r>
      <w:r w:rsidRPr="00E23281">
        <w:rPr>
          <w:rFonts w:ascii="Times New Roman" w:hAnsi="Times New Roman"/>
          <w:bCs/>
          <w:sz w:val="24"/>
          <w:szCs w:val="24"/>
        </w:rPr>
        <w:t>0,</w:t>
      </w:r>
      <w:r>
        <w:rPr>
          <w:rFonts w:ascii="Times New Roman" w:hAnsi="Times New Roman"/>
          <w:bCs/>
          <w:sz w:val="24"/>
          <w:szCs w:val="24"/>
        </w:rPr>
        <w:t>4</w:t>
      </w:r>
      <w:r w:rsidRPr="00E23281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73</w:t>
      </w:r>
      <w:r w:rsidRPr="00E23281">
        <w:rPr>
          <w:rFonts w:ascii="Times New Roman" w:hAnsi="Times New Roman"/>
          <w:bCs/>
          <w:sz w:val="24"/>
          <w:szCs w:val="24"/>
        </w:rPr>
        <w:t xml:space="preserve"> tCO</w:t>
      </w:r>
      <w:r w:rsidRPr="00012D75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E23281">
        <w:rPr>
          <w:rFonts w:ascii="Times New Roman" w:hAnsi="Times New Roman"/>
          <w:bCs/>
          <w:sz w:val="24"/>
          <w:szCs w:val="24"/>
        </w:rPr>
        <w:t>/MWh</w:t>
      </w:r>
      <w:r>
        <w:rPr>
          <w:rFonts w:ascii="Times New Roman" w:hAnsi="Times New Roman"/>
          <w:bCs/>
          <w:sz w:val="24"/>
          <w:szCs w:val="24"/>
        </w:rPr>
        <w:t xml:space="preserve"> o fator de emissão médio em 2024 </w:t>
      </w:r>
      <w:r>
        <w:rPr>
          <w:rFonts w:ascii="Times New Roman" w:hAnsi="Times New Roman"/>
          <w:sz w:val="24"/>
        </w:rPr>
        <w:t>(MCTI, 2024).</w:t>
      </w:r>
    </w:p>
    <w:p w14:paraId="4D12928C" w14:textId="413811D4" w:rsidR="009E3973" w:rsidRDefault="009E3973" w:rsidP="009E3973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posse do quantitativo de </w:t>
      </w:r>
      <w:r w:rsidR="00C851DE">
        <w:rPr>
          <w:rFonts w:ascii="Times New Roman" w:hAnsi="Times New Roman"/>
          <w:sz w:val="24"/>
        </w:rPr>
        <w:t>resíduos sólidos orgânicos</w:t>
      </w:r>
      <w:r>
        <w:rPr>
          <w:rFonts w:ascii="Times New Roman" w:hAnsi="Times New Roman"/>
          <w:sz w:val="24"/>
        </w:rPr>
        <w:t xml:space="preserve"> coletados, calculou-se </w:t>
      </w:r>
      <w:r w:rsidRPr="008B3C53">
        <w:rPr>
          <w:rFonts w:ascii="Times New Roman" w:hAnsi="Times New Roman"/>
          <w:sz w:val="24"/>
        </w:rPr>
        <w:t>as emissões de CO</w:t>
      </w:r>
      <w:r w:rsidRPr="008B3C53">
        <w:rPr>
          <w:rFonts w:ascii="Times New Roman" w:hAnsi="Times New Roman"/>
          <w:sz w:val="24"/>
          <w:vertAlign w:val="subscript"/>
        </w:rPr>
        <w:t>2</w:t>
      </w:r>
      <w:r w:rsidRPr="008B3C53">
        <w:rPr>
          <w:rFonts w:ascii="Times New Roman" w:hAnsi="Times New Roman"/>
          <w:sz w:val="24"/>
        </w:rPr>
        <w:t>eq evitadas, considerando-se o valor de conversão 0,765</w:t>
      </w:r>
      <w:r>
        <w:rPr>
          <w:rFonts w:ascii="Times New Roman" w:hAnsi="Times New Roman"/>
          <w:sz w:val="24"/>
        </w:rPr>
        <w:t xml:space="preserve"> t de </w:t>
      </w:r>
      <w:r w:rsidRPr="008B3C53">
        <w:rPr>
          <w:rFonts w:ascii="Times New Roman" w:hAnsi="Times New Roman"/>
          <w:sz w:val="24"/>
        </w:rPr>
        <w:t>CO</w:t>
      </w:r>
      <w:r w:rsidRPr="008B3C53">
        <w:rPr>
          <w:rFonts w:ascii="Times New Roman" w:hAnsi="Times New Roman"/>
          <w:sz w:val="24"/>
          <w:vertAlign w:val="subscript"/>
        </w:rPr>
        <w:t>2</w:t>
      </w:r>
      <w:r w:rsidRPr="008B3C53">
        <w:rPr>
          <w:rFonts w:ascii="Times New Roman" w:hAnsi="Times New Roman"/>
          <w:sz w:val="24"/>
        </w:rPr>
        <w:t>eq</w:t>
      </w:r>
      <w:r>
        <w:rPr>
          <w:rFonts w:ascii="Times New Roman" w:hAnsi="Times New Roman"/>
          <w:sz w:val="24"/>
        </w:rPr>
        <w:t xml:space="preserve"> para cada tonelada de </w:t>
      </w:r>
      <w:r w:rsidR="00583DCC">
        <w:rPr>
          <w:rFonts w:ascii="Times New Roman" w:hAnsi="Times New Roman"/>
          <w:sz w:val="24"/>
        </w:rPr>
        <w:t>resíduos sólidos orgânicos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compostados</w:t>
      </w:r>
      <w:proofErr w:type="spellEnd"/>
      <w:r w:rsidRPr="008B3C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caps/>
          <w:sz w:val="24"/>
        </w:rPr>
        <w:t>UNFCCC, S.D.</w:t>
      </w:r>
      <w:r w:rsidRPr="008B3C53">
        <w:rPr>
          <w:rFonts w:ascii="Times New Roman" w:hAnsi="Times New Roman"/>
          <w:sz w:val="24"/>
        </w:rPr>
        <w:t>).</w:t>
      </w:r>
    </w:p>
    <w:p w14:paraId="1E408725" w14:textId="4F6CB489" w:rsidR="000727DF" w:rsidRDefault="00D27AA4" w:rsidP="00D27AA4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9D2817">
        <w:rPr>
          <w:rFonts w:ascii="Times New Roman" w:hAnsi="Times New Roman"/>
          <w:sz w:val="24"/>
        </w:rPr>
        <w:t xml:space="preserve">Com base no total de mudas plantadas </w:t>
      </w:r>
      <w:r w:rsidR="00CA00C2">
        <w:rPr>
          <w:rFonts w:ascii="Times New Roman" w:hAnsi="Times New Roman"/>
          <w:sz w:val="24"/>
        </w:rPr>
        <w:t>na</w:t>
      </w:r>
      <w:r w:rsidRPr="009D2817">
        <w:rPr>
          <w:rFonts w:ascii="Times New Roman" w:hAnsi="Times New Roman"/>
          <w:sz w:val="24"/>
        </w:rPr>
        <w:t xml:space="preserve"> horta orgânica</w:t>
      </w:r>
      <w:r w:rsidR="00556559">
        <w:rPr>
          <w:rFonts w:ascii="Times New Roman" w:hAnsi="Times New Roman"/>
          <w:sz w:val="24"/>
        </w:rPr>
        <w:t xml:space="preserve"> de </w:t>
      </w:r>
      <w:r w:rsidR="0034797D">
        <w:rPr>
          <w:rFonts w:ascii="Times New Roman" w:hAnsi="Times New Roman"/>
          <w:sz w:val="24"/>
        </w:rPr>
        <w:t>5</w:t>
      </w:r>
      <w:r w:rsidR="00556559">
        <w:rPr>
          <w:rFonts w:ascii="Times New Roman" w:hAnsi="Times New Roman"/>
          <w:sz w:val="24"/>
        </w:rPr>
        <w:t>1 m²</w:t>
      </w:r>
      <w:r w:rsidRPr="009D2817">
        <w:rPr>
          <w:rFonts w:ascii="Times New Roman" w:hAnsi="Times New Roman"/>
          <w:sz w:val="24"/>
        </w:rPr>
        <w:t xml:space="preserve">, </w:t>
      </w:r>
      <w:r w:rsidR="000D5482">
        <w:rPr>
          <w:rFonts w:ascii="Times New Roman" w:hAnsi="Times New Roman"/>
          <w:sz w:val="24"/>
        </w:rPr>
        <w:t xml:space="preserve">e considerando-se </w:t>
      </w:r>
      <w:r w:rsidRPr="009D2817">
        <w:rPr>
          <w:rFonts w:ascii="Times New Roman" w:hAnsi="Times New Roman"/>
          <w:sz w:val="24"/>
        </w:rPr>
        <w:t xml:space="preserve">o percentual de produtividade </w:t>
      </w:r>
      <w:r w:rsidR="00A47F97">
        <w:rPr>
          <w:rFonts w:ascii="Times New Roman" w:hAnsi="Times New Roman"/>
          <w:sz w:val="24"/>
        </w:rPr>
        <w:t>esperada</w:t>
      </w:r>
      <w:r w:rsidR="005F1942">
        <w:rPr>
          <w:rFonts w:ascii="Times New Roman" w:hAnsi="Times New Roman"/>
          <w:sz w:val="24"/>
        </w:rPr>
        <w:t xml:space="preserve"> de 22 t/</w:t>
      </w:r>
      <w:r w:rsidR="00671C95">
        <w:rPr>
          <w:rFonts w:ascii="Times New Roman" w:hAnsi="Times New Roman"/>
          <w:sz w:val="24"/>
        </w:rPr>
        <w:t>há (Vilela; Luengo, 2011)</w:t>
      </w:r>
      <w:r w:rsidR="00A47F97">
        <w:rPr>
          <w:rFonts w:ascii="Times New Roman" w:hAnsi="Times New Roman"/>
          <w:sz w:val="24"/>
        </w:rPr>
        <w:t>,</w:t>
      </w:r>
      <w:r w:rsidR="005F1942">
        <w:rPr>
          <w:rFonts w:ascii="Times New Roman" w:hAnsi="Times New Roman"/>
          <w:sz w:val="24"/>
        </w:rPr>
        <w:t xml:space="preserve"> calculou-se a produção esperada de 112kg de hortaliças</w:t>
      </w:r>
      <w:r w:rsidRPr="009D2817">
        <w:rPr>
          <w:rFonts w:ascii="Times New Roman" w:hAnsi="Times New Roman"/>
          <w:sz w:val="24"/>
        </w:rPr>
        <w:t>.</w:t>
      </w:r>
      <w:r w:rsidR="00556559">
        <w:rPr>
          <w:rFonts w:ascii="Times New Roman" w:hAnsi="Times New Roman"/>
          <w:sz w:val="24"/>
        </w:rPr>
        <w:t xml:space="preserve"> </w:t>
      </w:r>
      <w:r w:rsidR="00F967A9">
        <w:rPr>
          <w:rFonts w:ascii="Times New Roman" w:hAnsi="Times New Roman"/>
          <w:sz w:val="24"/>
        </w:rPr>
        <w:t>Também foi quantificada a produção real</w:t>
      </w:r>
      <w:r w:rsidR="002D449E">
        <w:rPr>
          <w:rFonts w:ascii="Times New Roman" w:hAnsi="Times New Roman"/>
          <w:sz w:val="24"/>
        </w:rPr>
        <w:t xml:space="preserve"> obtida, com auxílio de uma balança digital.</w:t>
      </w:r>
    </w:p>
    <w:p w14:paraId="78B377C0" w14:textId="16B605A8" w:rsidR="00D27AA4" w:rsidRDefault="000727DF" w:rsidP="00D27AA4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mensuração das participações em ações de educação ambiental ocorreu através de listas de presença.</w:t>
      </w:r>
      <w:r w:rsidR="00F967A9">
        <w:rPr>
          <w:rFonts w:ascii="Times New Roman" w:hAnsi="Times New Roman"/>
          <w:sz w:val="24"/>
        </w:rPr>
        <w:t xml:space="preserve"> </w:t>
      </w:r>
      <w:r w:rsidR="00556559">
        <w:rPr>
          <w:rFonts w:ascii="Times New Roman" w:hAnsi="Times New Roman"/>
          <w:sz w:val="24"/>
        </w:rPr>
        <w:t xml:space="preserve"> </w:t>
      </w:r>
    </w:p>
    <w:p w14:paraId="0E9F148D" w14:textId="77777777" w:rsidR="009B6C9C" w:rsidRDefault="009B6C9C" w:rsidP="009B6C9C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3CF1FBAB" w14:textId="74DEC9EE" w:rsidR="009B6C9C" w:rsidRDefault="009B6C9C" w:rsidP="009B6C9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RESULTADOS</w:t>
      </w:r>
    </w:p>
    <w:p w14:paraId="65618C8B" w14:textId="77777777" w:rsidR="009B6C9C" w:rsidRDefault="009B6C9C" w:rsidP="009B6C9C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50406BE2" w14:textId="02F62251" w:rsidR="00F730A8" w:rsidRDefault="0029391E" w:rsidP="00D13CA5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Com base na pesquisa bibliográfica realizada, identificaram-se diversos serviços ecossistêmicos associados às atividades do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 xml:space="preserve">, implantado nos </w:t>
      </w:r>
      <w:r w:rsidRPr="00D13CA5">
        <w:rPr>
          <w:rFonts w:ascii="Times New Roman" w:hAnsi="Times New Roman"/>
          <w:sz w:val="24"/>
        </w:rPr>
        <w:lastRenderedPageBreak/>
        <w:t>municípios de Paraty, Porto Real e Volta Redonda, no estado do Rio de Janeiro. Esses serviços foram classificados em quatro categorias principais: serviços de suporte, de regulação, de provisão e culturais</w:t>
      </w:r>
      <w:r w:rsidR="00C45C70" w:rsidRPr="00D13CA5">
        <w:rPr>
          <w:rFonts w:ascii="Times New Roman" w:hAnsi="Times New Roman"/>
          <w:sz w:val="24"/>
        </w:rPr>
        <w:t xml:space="preserve"> (Qua</w:t>
      </w:r>
      <w:r w:rsidR="00B8795C" w:rsidRPr="00D13CA5">
        <w:rPr>
          <w:rFonts w:ascii="Times New Roman" w:hAnsi="Times New Roman"/>
          <w:sz w:val="24"/>
        </w:rPr>
        <w:t xml:space="preserve">dro </w:t>
      </w:r>
      <w:r w:rsidR="00F806F3">
        <w:rPr>
          <w:rFonts w:ascii="Times New Roman" w:hAnsi="Times New Roman"/>
          <w:sz w:val="24"/>
        </w:rPr>
        <w:t>1</w:t>
      </w:r>
      <w:r w:rsidR="00B8795C" w:rsidRPr="00D13CA5">
        <w:rPr>
          <w:rFonts w:ascii="Times New Roman" w:hAnsi="Times New Roman"/>
          <w:sz w:val="24"/>
        </w:rPr>
        <w:t>)</w:t>
      </w:r>
      <w:r w:rsidRPr="00D13CA5">
        <w:rPr>
          <w:rFonts w:ascii="Times New Roman" w:hAnsi="Times New Roman"/>
          <w:sz w:val="24"/>
        </w:rPr>
        <w:t xml:space="preserve">, conforme a tipologia proposta pela Millennium </w:t>
      </w:r>
      <w:proofErr w:type="spellStart"/>
      <w:r w:rsidRPr="00D13CA5">
        <w:rPr>
          <w:rFonts w:ascii="Times New Roman" w:hAnsi="Times New Roman"/>
          <w:sz w:val="24"/>
        </w:rPr>
        <w:t>Ecosystem</w:t>
      </w:r>
      <w:proofErr w:type="spellEnd"/>
      <w:r w:rsidRPr="00D13CA5">
        <w:rPr>
          <w:rFonts w:ascii="Times New Roman" w:hAnsi="Times New Roman"/>
          <w:sz w:val="24"/>
        </w:rPr>
        <w:t xml:space="preserve"> Assessment (MEA, 2005).</w:t>
      </w:r>
      <w:r w:rsidR="00986ED3" w:rsidRPr="00D13CA5">
        <w:rPr>
          <w:rFonts w:ascii="Times New Roman" w:hAnsi="Times New Roman"/>
          <w:sz w:val="24"/>
        </w:rPr>
        <w:t xml:space="preserve"> Desse modo, </w:t>
      </w:r>
      <w:r w:rsidR="009129A2" w:rsidRPr="00D13CA5">
        <w:rPr>
          <w:rFonts w:ascii="Times New Roman" w:hAnsi="Times New Roman"/>
          <w:sz w:val="24"/>
        </w:rPr>
        <w:t xml:space="preserve">possibilitou-se </w:t>
      </w:r>
      <w:r w:rsidRPr="00D13CA5">
        <w:rPr>
          <w:rFonts w:ascii="Times New Roman" w:hAnsi="Times New Roman"/>
          <w:sz w:val="24"/>
        </w:rPr>
        <w:t>uma compreensão abrangente das contribuições geradas pelas ações integradas do projeto</w:t>
      </w:r>
      <w:r w:rsidR="00211D22" w:rsidRPr="00D13CA5">
        <w:rPr>
          <w:rFonts w:ascii="Times New Roman" w:hAnsi="Times New Roman"/>
          <w:sz w:val="24"/>
        </w:rPr>
        <w:t>,</w:t>
      </w:r>
      <w:r w:rsidRPr="00D13CA5">
        <w:rPr>
          <w:rFonts w:ascii="Times New Roman" w:hAnsi="Times New Roman"/>
          <w:sz w:val="24"/>
        </w:rPr>
        <w:t xml:space="preserve"> evidencia</w:t>
      </w:r>
      <w:r w:rsidR="00211D22" w:rsidRPr="00D13CA5">
        <w:rPr>
          <w:rFonts w:ascii="Times New Roman" w:hAnsi="Times New Roman"/>
          <w:sz w:val="24"/>
        </w:rPr>
        <w:t>ndo</w:t>
      </w:r>
      <w:r w:rsidRPr="00D13CA5">
        <w:rPr>
          <w:rFonts w:ascii="Times New Roman" w:hAnsi="Times New Roman"/>
          <w:sz w:val="24"/>
        </w:rPr>
        <w:t xml:space="preserve"> o valor sistêmico do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>, tanto na promoção da conscientização ambiental quanto na melhoria do bem-estar das comunidades escolares envolvidas.</w:t>
      </w:r>
    </w:p>
    <w:p w14:paraId="3FD27436" w14:textId="66A504CC" w:rsidR="007670D8" w:rsidRPr="00693079" w:rsidRDefault="007670D8" w:rsidP="007670D8">
      <w:pPr>
        <w:pStyle w:val="Legenda"/>
        <w:keepNext/>
        <w:spacing w:after="0" w:line="360" w:lineRule="auto"/>
        <w:jc w:val="both"/>
        <w:rPr>
          <w:rFonts w:ascii="Times New Roman" w:hAnsi="Times New Roman"/>
          <w:i w:val="0"/>
          <w:iCs w:val="0"/>
          <w:color w:val="FF0000"/>
          <w:sz w:val="24"/>
          <w:szCs w:val="24"/>
        </w:rPr>
      </w:pPr>
      <w:bookmarkStart w:id="1" w:name="_Toc188626104"/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Quadro </w:t>
      </w:r>
      <w:r w:rsidR="00F806F3">
        <w:rPr>
          <w:rFonts w:ascii="Times New Roman" w:hAnsi="Times New Roman"/>
          <w:i w:val="0"/>
          <w:iCs w:val="0"/>
          <w:color w:val="auto"/>
          <w:sz w:val="24"/>
          <w:szCs w:val="24"/>
        </w:rPr>
        <w:t>1</w:t>
      </w:r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– Classificação dos serviços ecossistêmicos fornecidos pelo Projeto</w:t>
      </w:r>
      <w:r w:rsidR="00D41F0A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>CESCOLA.</w:t>
      </w:r>
      <w:bookmarkEnd w:id="1"/>
      <w:r>
        <w:rPr>
          <w:rFonts w:ascii="Times New Roman" w:hAnsi="Times New Roman"/>
          <w:i w:val="0"/>
          <w:iCs w:val="0"/>
          <w:color w:val="FF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3942"/>
        <w:gridCol w:w="2271"/>
      </w:tblGrid>
      <w:tr w:rsidR="007670D8" w:rsidRPr="004B1116" w14:paraId="400E1655" w14:textId="77777777" w:rsidTr="001A1EB5">
        <w:trPr>
          <w:trHeight w:val="290"/>
        </w:trPr>
        <w:tc>
          <w:tcPr>
            <w:tcW w:w="2268" w:type="dxa"/>
          </w:tcPr>
          <w:p w14:paraId="07C10919" w14:textId="77777777" w:rsidR="007670D8" w:rsidRPr="004B1116" w:rsidRDefault="007670D8" w:rsidP="001A1E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Serviços de suporte</w:t>
            </w:r>
          </w:p>
          <w:p w14:paraId="1386B084" w14:textId="77777777" w:rsidR="007670D8" w:rsidRPr="004B1116" w:rsidRDefault="007670D8" w:rsidP="001A1E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4395" w:type="dxa"/>
          </w:tcPr>
          <w:p w14:paraId="312E86C7" w14:textId="77777777" w:rsidR="007670D8" w:rsidRPr="004B1116" w:rsidRDefault="007670D8" w:rsidP="001A1E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Descrição</w:t>
            </w:r>
          </w:p>
        </w:tc>
        <w:tc>
          <w:tcPr>
            <w:tcW w:w="2409" w:type="dxa"/>
          </w:tcPr>
          <w:p w14:paraId="60F55D6D" w14:textId="77777777" w:rsidR="007670D8" w:rsidRPr="004B1116" w:rsidRDefault="007670D8" w:rsidP="001A1E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Exemplos</w:t>
            </w:r>
          </w:p>
        </w:tc>
      </w:tr>
      <w:tr w:rsidR="007670D8" w:rsidRPr="004B1116" w14:paraId="2560DE5E" w14:textId="77777777" w:rsidTr="001A1EB5">
        <w:tc>
          <w:tcPr>
            <w:tcW w:w="2268" w:type="dxa"/>
          </w:tcPr>
          <w:p w14:paraId="777B9EC1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Ciclagem de nutrientes</w:t>
            </w:r>
          </w:p>
        </w:tc>
        <w:tc>
          <w:tcPr>
            <w:tcW w:w="4395" w:type="dxa"/>
          </w:tcPr>
          <w:p w14:paraId="5C86572F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Disponibilização dos nutrientes presentes em resíduos orgânicos, condicionamento do solo.</w:t>
            </w:r>
          </w:p>
        </w:tc>
        <w:tc>
          <w:tcPr>
            <w:tcW w:w="2409" w:type="dxa"/>
          </w:tcPr>
          <w:p w14:paraId="28CB96B1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Compostagem, horta orgânica.</w:t>
            </w:r>
          </w:p>
        </w:tc>
      </w:tr>
      <w:tr w:rsidR="007670D8" w:rsidRPr="004B1116" w14:paraId="682CAC45" w14:textId="77777777" w:rsidTr="001A1EB5">
        <w:tc>
          <w:tcPr>
            <w:tcW w:w="2268" w:type="dxa"/>
          </w:tcPr>
          <w:p w14:paraId="103F7C5D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Serviços de regulação</w:t>
            </w:r>
          </w:p>
        </w:tc>
        <w:tc>
          <w:tcPr>
            <w:tcW w:w="4395" w:type="dxa"/>
          </w:tcPr>
          <w:p w14:paraId="6E92C8CF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Descrição</w:t>
            </w:r>
          </w:p>
        </w:tc>
        <w:tc>
          <w:tcPr>
            <w:tcW w:w="2409" w:type="dxa"/>
          </w:tcPr>
          <w:p w14:paraId="102EA2EA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Exemplos</w:t>
            </w:r>
          </w:p>
        </w:tc>
      </w:tr>
      <w:tr w:rsidR="007670D8" w:rsidRPr="004B1116" w14:paraId="11A061D5" w14:textId="77777777" w:rsidTr="001A1EB5">
        <w:tc>
          <w:tcPr>
            <w:tcW w:w="2268" w:type="dxa"/>
          </w:tcPr>
          <w:p w14:paraId="14D9B4ED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Regulação de resíduos</w:t>
            </w:r>
          </w:p>
        </w:tc>
        <w:tc>
          <w:tcPr>
            <w:tcW w:w="4395" w:type="dxa"/>
          </w:tcPr>
          <w:p w14:paraId="7EFEA41D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Coleta seletiva com posterior reintrodução nas cadeias produtivas.</w:t>
            </w:r>
          </w:p>
        </w:tc>
        <w:tc>
          <w:tcPr>
            <w:tcW w:w="2409" w:type="dxa"/>
          </w:tcPr>
          <w:p w14:paraId="09EAD956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Gerenciamento dos resíduos nas unidades.</w:t>
            </w:r>
          </w:p>
        </w:tc>
      </w:tr>
      <w:tr w:rsidR="007670D8" w:rsidRPr="004B1116" w14:paraId="37B43B36" w14:textId="77777777" w:rsidTr="001A1EB5">
        <w:tc>
          <w:tcPr>
            <w:tcW w:w="2268" w:type="dxa"/>
          </w:tcPr>
          <w:p w14:paraId="50D5D496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Redução da poluição</w:t>
            </w:r>
          </w:p>
        </w:tc>
        <w:tc>
          <w:tcPr>
            <w:tcW w:w="4395" w:type="dxa"/>
          </w:tcPr>
          <w:p w14:paraId="36495EC7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Diminuição das emissões emitidas por resíduos enviados aos aterros sanitários, contaminação do solo e de corpos hídricos.</w:t>
            </w:r>
          </w:p>
        </w:tc>
        <w:tc>
          <w:tcPr>
            <w:tcW w:w="2409" w:type="dxa"/>
          </w:tcPr>
          <w:p w14:paraId="37C5BB6E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Gerenciamento dos resíduos nas unidades.</w:t>
            </w:r>
          </w:p>
        </w:tc>
      </w:tr>
      <w:tr w:rsidR="007670D8" w:rsidRPr="004B1116" w14:paraId="09E345D5" w14:textId="77777777" w:rsidTr="001A1EB5">
        <w:tc>
          <w:tcPr>
            <w:tcW w:w="2268" w:type="dxa"/>
          </w:tcPr>
          <w:p w14:paraId="18504EB3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Regulação de recursos naturais</w:t>
            </w:r>
          </w:p>
        </w:tc>
        <w:tc>
          <w:tcPr>
            <w:tcW w:w="4395" w:type="dxa"/>
          </w:tcPr>
          <w:p w14:paraId="5BE7F8D3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Minimização da necessidade de exploração de matérias-primas virgens na produção de novos bens.</w:t>
            </w:r>
          </w:p>
        </w:tc>
        <w:tc>
          <w:tcPr>
            <w:tcW w:w="2409" w:type="dxa"/>
          </w:tcPr>
          <w:p w14:paraId="6D41A1A6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Gerenciamento dos resíduos nas unidades.</w:t>
            </w:r>
          </w:p>
        </w:tc>
      </w:tr>
      <w:tr w:rsidR="007670D8" w:rsidRPr="004B1116" w14:paraId="239B2B2D" w14:textId="77777777" w:rsidTr="001A1EB5">
        <w:tc>
          <w:tcPr>
            <w:tcW w:w="2268" w:type="dxa"/>
          </w:tcPr>
          <w:p w14:paraId="6EFABED6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Regulação da biodiversidade</w:t>
            </w:r>
          </w:p>
        </w:tc>
        <w:tc>
          <w:tcPr>
            <w:tcW w:w="4395" w:type="dxa"/>
          </w:tcPr>
          <w:p w14:paraId="24781C5E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 xml:space="preserve">Promoção de condições para o estabelecimento de micro, </w:t>
            </w:r>
            <w:proofErr w:type="spellStart"/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meso</w:t>
            </w:r>
            <w:proofErr w:type="spellEnd"/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 xml:space="preserve"> e macro organismos.</w:t>
            </w:r>
          </w:p>
        </w:tc>
        <w:tc>
          <w:tcPr>
            <w:tcW w:w="2409" w:type="dxa"/>
          </w:tcPr>
          <w:p w14:paraId="2EE5091B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Compostagem, horta orgânica.</w:t>
            </w:r>
          </w:p>
        </w:tc>
      </w:tr>
      <w:tr w:rsidR="007670D8" w:rsidRPr="004B1116" w14:paraId="0650CDE2" w14:textId="77777777" w:rsidTr="001A1EB5">
        <w:tc>
          <w:tcPr>
            <w:tcW w:w="2268" w:type="dxa"/>
          </w:tcPr>
          <w:p w14:paraId="12D41313" w14:textId="2912D9A1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Serviços de provisão</w:t>
            </w:r>
          </w:p>
        </w:tc>
        <w:tc>
          <w:tcPr>
            <w:tcW w:w="4395" w:type="dxa"/>
          </w:tcPr>
          <w:p w14:paraId="6CEC7C71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Descrição</w:t>
            </w:r>
          </w:p>
        </w:tc>
        <w:tc>
          <w:tcPr>
            <w:tcW w:w="2409" w:type="dxa"/>
          </w:tcPr>
          <w:p w14:paraId="476EF243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Exemplos</w:t>
            </w:r>
          </w:p>
        </w:tc>
      </w:tr>
      <w:tr w:rsidR="007670D8" w:rsidRPr="004B1116" w14:paraId="5D7DC6C6" w14:textId="77777777" w:rsidTr="001A1EB5">
        <w:trPr>
          <w:trHeight w:val="659"/>
        </w:trPr>
        <w:tc>
          <w:tcPr>
            <w:tcW w:w="2268" w:type="dxa"/>
          </w:tcPr>
          <w:p w14:paraId="64F70CE6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Fornecimento de alimentos</w:t>
            </w:r>
          </w:p>
        </w:tc>
        <w:tc>
          <w:tcPr>
            <w:tcW w:w="4395" w:type="dxa"/>
          </w:tcPr>
          <w:p w14:paraId="74B6BD6D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Produção de hortaliças orgânicas</w:t>
            </w:r>
          </w:p>
        </w:tc>
        <w:tc>
          <w:tcPr>
            <w:tcW w:w="2409" w:type="dxa"/>
          </w:tcPr>
          <w:p w14:paraId="218DF1B1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Horta orgânica.</w:t>
            </w:r>
          </w:p>
        </w:tc>
      </w:tr>
      <w:tr w:rsidR="007670D8" w:rsidRPr="004B1116" w14:paraId="735DA829" w14:textId="77777777" w:rsidTr="001A1EB5">
        <w:tc>
          <w:tcPr>
            <w:tcW w:w="2268" w:type="dxa"/>
          </w:tcPr>
          <w:p w14:paraId="3D3F91F7" w14:textId="341F1FC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Serviços culturais</w:t>
            </w:r>
          </w:p>
        </w:tc>
        <w:tc>
          <w:tcPr>
            <w:tcW w:w="4395" w:type="dxa"/>
          </w:tcPr>
          <w:p w14:paraId="4ACF8A1F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Descrição</w:t>
            </w:r>
          </w:p>
        </w:tc>
        <w:tc>
          <w:tcPr>
            <w:tcW w:w="2409" w:type="dxa"/>
          </w:tcPr>
          <w:p w14:paraId="16F2957D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b/>
                <w:sz w:val="23"/>
                <w:szCs w:val="23"/>
              </w:rPr>
              <w:t>Exemplos</w:t>
            </w:r>
          </w:p>
        </w:tc>
      </w:tr>
      <w:tr w:rsidR="007670D8" w:rsidRPr="004B1116" w14:paraId="6A9B633A" w14:textId="77777777" w:rsidTr="001A1EB5">
        <w:tc>
          <w:tcPr>
            <w:tcW w:w="2268" w:type="dxa"/>
          </w:tcPr>
          <w:p w14:paraId="6B091F3C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Educação</w:t>
            </w:r>
          </w:p>
        </w:tc>
        <w:tc>
          <w:tcPr>
            <w:tcW w:w="4395" w:type="dxa"/>
          </w:tcPr>
          <w:p w14:paraId="580021D4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Difusão dos conhecimentos aplicados no projeto para a comunidade.</w:t>
            </w:r>
          </w:p>
        </w:tc>
        <w:tc>
          <w:tcPr>
            <w:tcW w:w="2409" w:type="dxa"/>
          </w:tcPr>
          <w:p w14:paraId="181EA48D" w14:textId="77777777" w:rsidR="007670D8" w:rsidRPr="004B1116" w:rsidRDefault="007670D8" w:rsidP="001A1EB5">
            <w:pPr>
              <w:keepNext/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Práticas de compostagem, hortas orgânicas, coleta seletiva.</w:t>
            </w:r>
          </w:p>
        </w:tc>
      </w:tr>
      <w:tr w:rsidR="007670D8" w:rsidRPr="004B1116" w14:paraId="045763FA" w14:textId="77777777" w:rsidTr="001A1EB5">
        <w:trPr>
          <w:trHeight w:val="1645"/>
        </w:trPr>
        <w:tc>
          <w:tcPr>
            <w:tcW w:w="2268" w:type="dxa"/>
          </w:tcPr>
          <w:p w14:paraId="663A9623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Conscientização ambiental</w:t>
            </w:r>
          </w:p>
        </w:tc>
        <w:tc>
          <w:tcPr>
            <w:tcW w:w="4395" w:type="dxa"/>
          </w:tcPr>
          <w:p w14:paraId="709EB665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Percepção do bem-estar gerado através dos cuidados ambientais</w:t>
            </w:r>
          </w:p>
        </w:tc>
        <w:tc>
          <w:tcPr>
            <w:tcW w:w="2409" w:type="dxa"/>
          </w:tcPr>
          <w:p w14:paraId="13C8404C" w14:textId="77777777" w:rsidR="007670D8" w:rsidRPr="004B1116" w:rsidRDefault="007670D8" w:rsidP="001A1EB5">
            <w:pPr>
              <w:keepNext/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Fornecimento de alimentos, geração de renda com a reciclagem, tratamento de resíduos orgânicos.</w:t>
            </w:r>
          </w:p>
        </w:tc>
      </w:tr>
      <w:tr w:rsidR="007670D8" w:rsidRPr="004B1116" w14:paraId="417CF520" w14:textId="77777777" w:rsidTr="001A1EB5">
        <w:tc>
          <w:tcPr>
            <w:tcW w:w="2268" w:type="dxa"/>
          </w:tcPr>
          <w:p w14:paraId="27A3226C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Conexão com a natureza</w:t>
            </w:r>
          </w:p>
        </w:tc>
        <w:tc>
          <w:tcPr>
            <w:tcW w:w="4395" w:type="dxa"/>
          </w:tcPr>
          <w:p w14:paraId="386C5058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Aproximação do ser humano com a natureza, e redescoberta de sua importância.</w:t>
            </w:r>
          </w:p>
        </w:tc>
        <w:tc>
          <w:tcPr>
            <w:tcW w:w="2409" w:type="dxa"/>
          </w:tcPr>
          <w:p w14:paraId="2E5301E8" w14:textId="77777777" w:rsidR="007670D8" w:rsidRPr="004B1116" w:rsidRDefault="007670D8" w:rsidP="001A1EB5">
            <w:pPr>
              <w:keepNext/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Horta orgânica</w:t>
            </w:r>
          </w:p>
        </w:tc>
      </w:tr>
      <w:tr w:rsidR="007670D8" w:rsidRPr="004B1116" w14:paraId="29865E5C" w14:textId="77777777" w:rsidTr="001A1EB5">
        <w:tc>
          <w:tcPr>
            <w:tcW w:w="2268" w:type="dxa"/>
          </w:tcPr>
          <w:p w14:paraId="71D4B047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Lazer</w:t>
            </w:r>
          </w:p>
        </w:tc>
        <w:tc>
          <w:tcPr>
            <w:tcW w:w="4395" w:type="dxa"/>
          </w:tcPr>
          <w:p w14:paraId="077B83F7" w14:textId="77777777" w:rsidR="007670D8" w:rsidRPr="004B1116" w:rsidRDefault="007670D8" w:rsidP="001A1EB5">
            <w:pPr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Manejo em área produtiva de hortaliças.</w:t>
            </w:r>
          </w:p>
        </w:tc>
        <w:tc>
          <w:tcPr>
            <w:tcW w:w="2409" w:type="dxa"/>
          </w:tcPr>
          <w:p w14:paraId="28824B10" w14:textId="77777777" w:rsidR="007670D8" w:rsidRPr="004B1116" w:rsidRDefault="007670D8" w:rsidP="001A1EB5">
            <w:pPr>
              <w:keepNext/>
              <w:spacing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B1116">
              <w:rPr>
                <w:rFonts w:ascii="Times New Roman" w:eastAsia="Times New Roman" w:hAnsi="Times New Roman"/>
                <w:sz w:val="23"/>
                <w:szCs w:val="23"/>
              </w:rPr>
              <w:t>Horta orgânica</w:t>
            </w:r>
          </w:p>
        </w:tc>
      </w:tr>
    </w:tbl>
    <w:p w14:paraId="10B30BA5" w14:textId="77777777" w:rsidR="007670D8" w:rsidRPr="0029391E" w:rsidRDefault="007670D8" w:rsidP="009129A2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513BADA9" w14:textId="103F563A" w:rsidR="0029391E" w:rsidRDefault="00294324" w:rsidP="009E3D80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A ciclagem de nutrientes promovida pelo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 xml:space="preserve"> teve início com a coleta dos resíduos sólidos orgânicos (RSO) gerados nas unidades escolares e nas residências das famílias </w:t>
      </w:r>
      <w:r w:rsidR="00EC64CA" w:rsidRPr="00D13CA5">
        <w:rPr>
          <w:rFonts w:ascii="Times New Roman" w:hAnsi="Times New Roman"/>
          <w:sz w:val="24"/>
        </w:rPr>
        <w:t xml:space="preserve">de alunos voluntários </w:t>
      </w:r>
      <w:r w:rsidRPr="00D13CA5">
        <w:rPr>
          <w:rFonts w:ascii="Times New Roman" w:hAnsi="Times New Roman"/>
          <w:sz w:val="24"/>
        </w:rPr>
        <w:t>atendidas. Após o processo de compostagem, os resíduos transformaram-se em nutrientes disponíveis para as hortas escolares, promovendo o fechamento do ciclo ecológico.</w:t>
      </w:r>
    </w:p>
    <w:p w14:paraId="65761BE3" w14:textId="703C30CC" w:rsidR="0013079C" w:rsidRDefault="0013079C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13079C">
        <w:rPr>
          <w:rFonts w:ascii="Times New Roman" w:hAnsi="Times New Roman"/>
          <w:sz w:val="24"/>
        </w:rPr>
        <w:t>O uso do composto orgânico produzido nas unidades escolares não apenas contribuiu para a ciclagem de nutrientes, como também favoreceu a regulação da biodiversidade e o fornecimento de alimentos. A</w:t>
      </w:r>
      <w:r w:rsidR="009C2569">
        <w:rPr>
          <w:rFonts w:ascii="Times New Roman" w:hAnsi="Times New Roman"/>
          <w:sz w:val="24"/>
        </w:rPr>
        <w:t xml:space="preserve"> biodiversidade microbiana </w:t>
      </w:r>
      <w:r w:rsidR="0021283F">
        <w:rPr>
          <w:rFonts w:ascii="Times New Roman" w:hAnsi="Times New Roman"/>
          <w:sz w:val="24"/>
        </w:rPr>
        <w:t>do solo pode ser promovida com a aplicação do composto orgânico</w:t>
      </w:r>
      <w:r w:rsidR="009A6A79">
        <w:rPr>
          <w:rFonts w:ascii="Times New Roman" w:hAnsi="Times New Roman"/>
          <w:sz w:val="24"/>
        </w:rPr>
        <w:t xml:space="preserve">, favorecendo a </w:t>
      </w:r>
      <w:r w:rsidRPr="0013079C">
        <w:rPr>
          <w:rFonts w:ascii="Times New Roman" w:hAnsi="Times New Roman"/>
          <w:sz w:val="24"/>
        </w:rPr>
        <w:t xml:space="preserve">presença de organismos como minhocas, </w:t>
      </w:r>
      <w:r w:rsidR="00CF629D">
        <w:rPr>
          <w:rFonts w:ascii="Times New Roman" w:hAnsi="Times New Roman"/>
          <w:sz w:val="24"/>
        </w:rPr>
        <w:t xml:space="preserve">e </w:t>
      </w:r>
      <w:r w:rsidRPr="0013079C">
        <w:rPr>
          <w:rFonts w:ascii="Times New Roman" w:hAnsi="Times New Roman"/>
          <w:sz w:val="24"/>
        </w:rPr>
        <w:t>resultando em maior sustentabilidade agrícola</w:t>
      </w:r>
      <w:r w:rsidR="00C059DA">
        <w:rPr>
          <w:rFonts w:ascii="Times New Roman" w:hAnsi="Times New Roman"/>
          <w:sz w:val="24"/>
        </w:rPr>
        <w:t>.</w:t>
      </w:r>
    </w:p>
    <w:p w14:paraId="7550EFD0" w14:textId="21987537" w:rsidR="00D773D0" w:rsidRDefault="00D773D0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773D0">
        <w:rPr>
          <w:rFonts w:ascii="Times New Roman" w:hAnsi="Times New Roman"/>
          <w:sz w:val="24"/>
        </w:rPr>
        <w:t xml:space="preserve">A implantação de hortas orgânicas adubadas com compostos oriundos da compostagem escolar proporcionou, além da produção de alimentos, benefícios como o fortalecimento da conexão humano-natureza, </w:t>
      </w:r>
      <w:r w:rsidR="007C2582">
        <w:rPr>
          <w:rFonts w:ascii="Times New Roman" w:hAnsi="Times New Roman"/>
          <w:sz w:val="24"/>
        </w:rPr>
        <w:t xml:space="preserve">o </w:t>
      </w:r>
      <w:r w:rsidR="00D6283B">
        <w:rPr>
          <w:rFonts w:ascii="Times New Roman" w:hAnsi="Times New Roman"/>
          <w:sz w:val="24"/>
        </w:rPr>
        <w:t>favorec</w:t>
      </w:r>
      <w:r w:rsidR="00476500">
        <w:rPr>
          <w:rFonts w:ascii="Times New Roman" w:hAnsi="Times New Roman"/>
          <w:sz w:val="24"/>
        </w:rPr>
        <w:t>imento</w:t>
      </w:r>
      <w:r w:rsidR="00D6283B">
        <w:rPr>
          <w:rFonts w:ascii="Times New Roman" w:hAnsi="Times New Roman"/>
          <w:sz w:val="24"/>
        </w:rPr>
        <w:t xml:space="preserve"> </w:t>
      </w:r>
      <w:r w:rsidR="00476500">
        <w:rPr>
          <w:rFonts w:ascii="Times New Roman" w:hAnsi="Times New Roman"/>
          <w:sz w:val="24"/>
        </w:rPr>
        <w:t>d</w:t>
      </w:r>
      <w:r w:rsidR="00D6283B">
        <w:rPr>
          <w:rFonts w:ascii="Times New Roman" w:hAnsi="Times New Roman"/>
          <w:sz w:val="24"/>
        </w:rPr>
        <w:t>o incremento da biodiversidade</w:t>
      </w:r>
      <w:r w:rsidR="00476500">
        <w:rPr>
          <w:rFonts w:ascii="Times New Roman" w:hAnsi="Times New Roman"/>
          <w:sz w:val="24"/>
        </w:rPr>
        <w:t xml:space="preserve"> do solo</w:t>
      </w:r>
      <w:r w:rsidRPr="00D773D0">
        <w:rPr>
          <w:rFonts w:ascii="Times New Roman" w:hAnsi="Times New Roman"/>
          <w:sz w:val="24"/>
        </w:rPr>
        <w:t xml:space="preserve"> e a promoção de práticas ambientalmente responsáveis, com</w:t>
      </w:r>
      <w:r w:rsidR="007C2582">
        <w:rPr>
          <w:rFonts w:ascii="Times New Roman" w:hAnsi="Times New Roman"/>
          <w:sz w:val="24"/>
        </w:rPr>
        <w:t xml:space="preserve"> </w:t>
      </w:r>
      <w:r w:rsidRPr="00D773D0">
        <w:rPr>
          <w:rFonts w:ascii="Times New Roman" w:hAnsi="Times New Roman"/>
          <w:sz w:val="24"/>
        </w:rPr>
        <w:t>caráter educativo</w:t>
      </w:r>
      <w:r w:rsidR="007C2582">
        <w:rPr>
          <w:rFonts w:ascii="Times New Roman" w:hAnsi="Times New Roman"/>
          <w:sz w:val="24"/>
        </w:rPr>
        <w:t>.</w:t>
      </w:r>
    </w:p>
    <w:p w14:paraId="1B36544A" w14:textId="60EFFB87" w:rsidR="003B49FC" w:rsidRDefault="003B49FC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3B49FC">
        <w:rPr>
          <w:rFonts w:ascii="Times New Roman" w:hAnsi="Times New Roman"/>
          <w:sz w:val="24"/>
        </w:rPr>
        <w:t>Os serviços ecossistêmicos associados ao gerenciamento dos resíduos incluíram a regulação ambiental por meio da reinserção de materiais recicláveis na cadeia produtiva, contribuindo para a conservação dos recursos naturais</w:t>
      </w:r>
      <w:r w:rsidR="00DD24CC">
        <w:rPr>
          <w:rFonts w:ascii="Times New Roman" w:hAnsi="Times New Roman"/>
          <w:sz w:val="24"/>
        </w:rPr>
        <w:t xml:space="preserve">, </w:t>
      </w:r>
      <w:r w:rsidRPr="003B49FC">
        <w:rPr>
          <w:rFonts w:ascii="Times New Roman" w:hAnsi="Times New Roman"/>
          <w:sz w:val="24"/>
        </w:rPr>
        <w:t>redu</w:t>
      </w:r>
      <w:r w:rsidR="00DD24CC">
        <w:rPr>
          <w:rFonts w:ascii="Times New Roman" w:hAnsi="Times New Roman"/>
          <w:sz w:val="24"/>
        </w:rPr>
        <w:t>ção</w:t>
      </w:r>
      <w:r w:rsidRPr="003B49FC">
        <w:rPr>
          <w:rFonts w:ascii="Times New Roman" w:hAnsi="Times New Roman"/>
          <w:sz w:val="24"/>
        </w:rPr>
        <w:t xml:space="preserve"> </w:t>
      </w:r>
      <w:r w:rsidR="00DD24CC">
        <w:rPr>
          <w:rFonts w:ascii="Times New Roman" w:hAnsi="Times New Roman"/>
          <w:sz w:val="24"/>
        </w:rPr>
        <w:t>d</w:t>
      </w:r>
      <w:r w:rsidRPr="003B49FC">
        <w:rPr>
          <w:rFonts w:ascii="Times New Roman" w:hAnsi="Times New Roman"/>
          <w:sz w:val="24"/>
        </w:rPr>
        <w:t>a contaminação ambiental, ao remover microplásticos, metais pesados</w:t>
      </w:r>
      <w:r w:rsidR="00240C94">
        <w:rPr>
          <w:rFonts w:ascii="Times New Roman" w:hAnsi="Times New Roman"/>
          <w:sz w:val="24"/>
        </w:rPr>
        <w:t>, mitigar a emissão de gases de efeito estufa</w:t>
      </w:r>
      <w:r w:rsidRPr="003B49FC">
        <w:rPr>
          <w:rFonts w:ascii="Times New Roman" w:hAnsi="Times New Roman"/>
          <w:sz w:val="24"/>
        </w:rPr>
        <w:t xml:space="preserve"> e outros poluentes do ambiente. Do mesmo modo, a compostagem dos </w:t>
      </w:r>
      <w:r w:rsidR="00E00167">
        <w:rPr>
          <w:rFonts w:ascii="Times New Roman" w:hAnsi="Times New Roman"/>
          <w:sz w:val="24"/>
        </w:rPr>
        <w:t>resíduos orgânicos</w:t>
      </w:r>
      <w:r w:rsidRPr="003B49FC">
        <w:rPr>
          <w:rFonts w:ascii="Times New Roman" w:hAnsi="Times New Roman"/>
          <w:sz w:val="24"/>
        </w:rPr>
        <w:t xml:space="preserve"> demonstrou potencial para mitigação das emissões de gases de efeito estufa, quando comparada à disposição em aterros sanitários</w:t>
      </w:r>
      <w:r w:rsidR="005952E8">
        <w:rPr>
          <w:rFonts w:ascii="Times New Roman" w:hAnsi="Times New Roman"/>
          <w:sz w:val="24"/>
        </w:rPr>
        <w:t>.</w:t>
      </w:r>
    </w:p>
    <w:p w14:paraId="1FF87ACF" w14:textId="7AFFB81C" w:rsidR="00156444" w:rsidRDefault="00156444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A oferta desses serviços ecossistêmicos foi potencializada pelas ações de educação ambiental implementadas no âmbito do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 xml:space="preserve">, que articularam o manejo de </w:t>
      </w:r>
      <w:r w:rsidRPr="00D13CA5">
        <w:rPr>
          <w:rFonts w:ascii="Times New Roman" w:hAnsi="Times New Roman"/>
          <w:sz w:val="24"/>
        </w:rPr>
        <w:lastRenderedPageBreak/>
        <w:t>resíduos</w:t>
      </w:r>
      <w:r w:rsidR="003E5544" w:rsidRPr="00D13CA5">
        <w:rPr>
          <w:rFonts w:ascii="Times New Roman" w:hAnsi="Times New Roman"/>
          <w:sz w:val="24"/>
        </w:rPr>
        <w:t>, inorgânicos e orgânicos,</w:t>
      </w:r>
      <w:r w:rsidRPr="00D13CA5">
        <w:rPr>
          <w:rFonts w:ascii="Times New Roman" w:hAnsi="Times New Roman"/>
          <w:sz w:val="24"/>
        </w:rPr>
        <w:t xml:space="preserve"> à agricultura urbana</w:t>
      </w:r>
      <w:r w:rsidR="00735E1C" w:rsidRPr="00D13CA5">
        <w:rPr>
          <w:rFonts w:ascii="Times New Roman" w:hAnsi="Times New Roman"/>
          <w:sz w:val="24"/>
        </w:rPr>
        <w:t>, com participação ativa da comunidade escolar</w:t>
      </w:r>
      <w:r w:rsidRPr="00D13CA5">
        <w:rPr>
          <w:rFonts w:ascii="Times New Roman" w:hAnsi="Times New Roman"/>
          <w:sz w:val="24"/>
        </w:rPr>
        <w:t>.</w:t>
      </w:r>
    </w:p>
    <w:p w14:paraId="3A974C46" w14:textId="752C9F5A" w:rsidR="0009541D" w:rsidRDefault="00154F06" w:rsidP="0009541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partir do</w:t>
      </w:r>
      <w:r w:rsidR="0009541D" w:rsidRPr="008E7F53">
        <w:rPr>
          <w:rFonts w:ascii="Times New Roman" w:hAnsi="Times New Roman"/>
          <w:sz w:val="24"/>
        </w:rPr>
        <w:t xml:space="preserve"> quantitativo de </w:t>
      </w:r>
      <w:r>
        <w:rPr>
          <w:rFonts w:ascii="Times New Roman" w:hAnsi="Times New Roman"/>
          <w:sz w:val="24"/>
        </w:rPr>
        <w:t>resíduos sólidos inorgânicos</w:t>
      </w:r>
      <w:r w:rsidR="003C7F3E">
        <w:rPr>
          <w:rFonts w:ascii="Times New Roman" w:hAnsi="Times New Roman"/>
          <w:sz w:val="24"/>
        </w:rPr>
        <w:t xml:space="preserve"> (RSI)</w:t>
      </w:r>
      <w:r w:rsidR="0009541D" w:rsidRPr="008E7F53">
        <w:rPr>
          <w:rFonts w:ascii="Times New Roman" w:hAnsi="Times New Roman"/>
          <w:sz w:val="24"/>
        </w:rPr>
        <w:t xml:space="preserve"> coletados (Tabela </w:t>
      </w:r>
      <w:r w:rsidR="00DB35E1">
        <w:rPr>
          <w:rFonts w:ascii="Times New Roman" w:hAnsi="Times New Roman"/>
          <w:sz w:val="24"/>
        </w:rPr>
        <w:t>1</w:t>
      </w:r>
      <w:r w:rsidR="0009541D" w:rsidRPr="008E7F53">
        <w:rPr>
          <w:rFonts w:ascii="Times New Roman" w:hAnsi="Times New Roman"/>
          <w:sz w:val="24"/>
        </w:rPr>
        <w:t xml:space="preserve">), </w:t>
      </w:r>
      <w:r w:rsidR="007E4910">
        <w:rPr>
          <w:rFonts w:ascii="Times New Roman" w:hAnsi="Times New Roman"/>
          <w:sz w:val="24"/>
        </w:rPr>
        <w:t>obteve-se</w:t>
      </w:r>
      <w:r w:rsidR="0009541D" w:rsidRPr="008E7F53">
        <w:rPr>
          <w:rFonts w:ascii="Times New Roman" w:hAnsi="Times New Roman"/>
          <w:sz w:val="24"/>
        </w:rPr>
        <w:t xml:space="preserve"> o quantitativo do serviço ecossistêmico de emissões de CO</w:t>
      </w:r>
      <w:r w:rsidR="0009541D" w:rsidRPr="008E7F53">
        <w:rPr>
          <w:rFonts w:ascii="Times New Roman" w:hAnsi="Times New Roman"/>
          <w:sz w:val="24"/>
          <w:vertAlign w:val="subscript"/>
        </w:rPr>
        <w:t>2</w:t>
      </w:r>
      <w:r w:rsidR="0009541D" w:rsidRPr="008E7F53">
        <w:rPr>
          <w:rFonts w:ascii="Times New Roman" w:hAnsi="Times New Roman"/>
          <w:sz w:val="24"/>
        </w:rPr>
        <w:t xml:space="preserve"> mitigadas através da reciclagem</w:t>
      </w:r>
      <w:r w:rsidR="0047460D">
        <w:rPr>
          <w:rFonts w:ascii="Times New Roman" w:hAnsi="Times New Roman"/>
          <w:sz w:val="24"/>
        </w:rPr>
        <w:t xml:space="preserve"> (Tabela </w:t>
      </w:r>
      <w:r w:rsidR="00044DFC">
        <w:rPr>
          <w:rFonts w:ascii="Times New Roman" w:hAnsi="Times New Roman"/>
          <w:sz w:val="24"/>
        </w:rPr>
        <w:t>2</w:t>
      </w:r>
      <w:r w:rsidR="0047460D">
        <w:rPr>
          <w:rFonts w:ascii="Times New Roman" w:hAnsi="Times New Roman"/>
          <w:sz w:val="24"/>
        </w:rPr>
        <w:t>).</w:t>
      </w:r>
    </w:p>
    <w:p w14:paraId="09EC421C" w14:textId="77777777" w:rsidR="00044DFC" w:rsidRDefault="00044DFC" w:rsidP="0009541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6A3855AD" w14:textId="77777777" w:rsidR="00044DFC" w:rsidRDefault="00044DFC" w:rsidP="0009541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22D0D6E" w14:textId="77777777" w:rsidR="00DB35E1" w:rsidRDefault="00DB35E1" w:rsidP="0009541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54E010C" w14:textId="4F2487F6" w:rsidR="00DB35E1" w:rsidRPr="00D13CA5" w:rsidRDefault="00DB35E1" w:rsidP="00DB35E1">
      <w:pPr>
        <w:pStyle w:val="Legenda"/>
        <w:keepNext/>
        <w:spacing w:after="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2" w:name="_Toc188626127"/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Tabela </w:t>
      </w:r>
      <w:r w:rsidR="00240022"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>1</w:t>
      </w:r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– Quantitativo de RSI coletados por unidade.</w:t>
      </w:r>
      <w:bookmarkEnd w:id="2"/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407"/>
        <w:gridCol w:w="1407"/>
        <w:gridCol w:w="1407"/>
        <w:gridCol w:w="1407"/>
        <w:gridCol w:w="1407"/>
      </w:tblGrid>
      <w:tr w:rsidR="00DB35E1" w:rsidRPr="00D13CA5" w14:paraId="4EDD7A23" w14:textId="77777777" w:rsidTr="00F13BBC">
        <w:tc>
          <w:tcPr>
            <w:tcW w:w="2962" w:type="dxa"/>
            <w:gridSpan w:val="2"/>
            <w:tcBorders>
              <w:bottom w:val="single" w:sz="4" w:space="0" w:color="auto"/>
            </w:tcBorders>
          </w:tcPr>
          <w:p w14:paraId="1C8AD652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Paraty</w:t>
            </w: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14:paraId="154CBAAB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Porto Real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14:paraId="3BA1F269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Volta Redonda</w:t>
            </w:r>
          </w:p>
        </w:tc>
      </w:tr>
      <w:tr w:rsidR="00DB35E1" w:rsidRPr="00D13CA5" w14:paraId="27D3C127" w14:textId="77777777" w:rsidTr="00F13BBC"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21A3824F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Início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8CAD244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Fim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7F12BB5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Início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A2690A7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Fim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74881E99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Início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250ABBCF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Fim</w:t>
            </w:r>
          </w:p>
        </w:tc>
      </w:tr>
      <w:tr w:rsidR="00DB35E1" w:rsidRPr="00D13CA5" w14:paraId="23F8EA7A" w14:textId="77777777" w:rsidTr="00F13BBC"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01A5BD8E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27/06/2023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4E658F88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27/06/2024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9402EEC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30/08/2023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E54E2DC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10/07/2024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98FE492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01/01/2023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04075ED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31/05/2024</w:t>
            </w:r>
          </w:p>
        </w:tc>
      </w:tr>
      <w:tr w:rsidR="00DB35E1" w:rsidRPr="00D13CA5" w14:paraId="72F66F75" w14:textId="77777777" w:rsidTr="00F13BBC">
        <w:tc>
          <w:tcPr>
            <w:tcW w:w="2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81AF2" w14:textId="77777777" w:rsidR="00DB35E1" w:rsidRPr="00D13CA5" w:rsidRDefault="00DB35E1" w:rsidP="00666AC6">
            <w:pPr>
              <w:spacing w:line="360" w:lineRule="auto"/>
              <w:jc w:val="both"/>
              <w:rPr>
                <w:sz w:val="24"/>
              </w:rPr>
            </w:pPr>
            <w:r w:rsidRPr="00D13CA5">
              <w:rPr>
                <w:sz w:val="24"/>
              </w:rPr>
              <w:t xml:space="preserve">Total de RSI coletados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E7A7A" w14:textId="77777777" w:rsidR="00DB35E1" w:rsidRPr="00D13CA5" w:rsidRDefault="00DB35E1" w:rsidP="00666AC6">
            <w:pPr>
              <w:spacing w:line="360" w:lineRule="auto"/>
              <w:jc w:val="both"/>
              <w:rPr>
                <w:sz w:val="24"/>
              </w:rPr>
            </w:pPr>
            <w:r w:rsidRPr="00D13CA5">
              <w:rPr>
                <w:sz w:val="24"/>
              </w:rPr>
              <w:t xml:space="preserve">Total de RSI coletados 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D5583" w14:textId="77777777" w:rsidR="00DB35E1" w:rsidRPr="00D13CA5" w:rsidRDefault="00DB35E1" w:rsidP="00666AC6">
            <w:pPr>
              <w:spacing w:line="360" w:lineRule="auto"/>
              <w:jc w:val="both"/>
              <w:rPr>
                <w:sz w:val="24"/>
              </w:rPr>
            </w:pPr>
            <w:r w:rsidRPr="00D13CA5">
              <w:rPr>
                <w:sz w:val="24"/>
              </w:rPr>
              <w:t xml:space="preserve">Total de RSI coletados </w:t>
            </w:r>
          </w:p>
        </w:tc>
      </w:tr>
      <w:tr w:rsidR="00DB35E1" w:rsidRPr="00D13CA5" w14:paraId="34915032" w14:textId="77777777" w:rsidTr="00F13BBC">
        <w:tc>
          <w:tcPr>
            <w:tcW w:w="2962" w:type="dxa"/>
            <w:gridSpan w:val="2"/>
            <w:tcBorders>
              <w:top w:val="single" w:sz="4" w:space="0" w:color="auto"/>
            </w:tcBorders>
          </w:tcPr>
          <w:p w14:paraId="731ED8DB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663,95 kg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</w:tcBorders>
          </w:tcPr>
          <w:p w14:paraId="0172456B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322,44 kg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</w:tcBorders>
          </w:tcPr>
          <w:p w14:paraId="17DDD717" w14:textId="77777777" w:rsidR="00DB35E1" w:rsidRPr="00D13CA5" w:rsidRDefault="00DB35E1" w:rsidP="00666AC6">
            <w:pPr>
              <w:spacing w:line="360" w:lineRule="auto"/>
              <w:jc w:val="center"/>
              <w:rPr>
                <w:sz w:val="24"/>
              </w:rPr>
            </w:pPr>
            <w:r w:rsidRPr="00D13CA5">
              <w:rPr>
                <w:sz w:val="24"/>
              </w:rPr>
              <w:t>3086,22 kg</w:t>
            </w:r>
          </w:p>
        </w:tc>
      </w:tr>
    </w:tbl>
    <w:p w14:paraId="45811D4E" w14:textId="77777777" w:rsidR="00DB35E1" w:rsidRPr="00D13CA5" w:rsidRDefault="00DB35E1" w:rsidP="0009541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6945ECB8" w14:textId="2D099711" w:rsidR="0009541D" w:rsidRDefault="00DB35E1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O porte e a complexidade dos municípios, além de suas diferenças geográficas, influenciaram a efetividade das campanhas educativas: enquanto em comunidades menores, como </w:t>
      </w:r>
      <w:r w:rsidR="00F13BBC" w:rsidRPr="00D13CA5">
        <w:rPr>
          <w:rFonts w:ascii="Times New Roman" w:hAnsi="Times New Roman"/>
          <w:sz w:val="24"/>
        </w:rPr>
        <w:t xml:space="preserve">o distrito de </w:t>
      </w:r>
      <w:proofErr w:type="spellStart"/>
      <w:r w:rsidRPr="00D13CA5">
        <w:rPr>
          <w:rFonts w:ascii="Times New Roman" w:hAnsi="Times New Roman"/>
          <w:sz w:val="24"/>
        </w:rPr>
        <w:t>Tarituba</w:t>
      </w:r>
      <w:proofErr w:type="spellEnd"/>
      <w:r w:rsidRPr="00D13CA5">
        <w:rPr>
          <w:rFonts w:ascii="Times New Roman" w:hAnsi="Times New Roman"/>
          <w:sz w:val="24"/>
        </w:rPr>
        <w:t>,</w:t>
      </w:r>
      <w:r w:rsidR="00F13BBC" w:rsidRPr="00D13CA5">
        <w:rPr>
          <w:rFonts w:ascii="Times New Roman" w:hAnsi="Times New Roman"/>
          <w:sz w:val="24"/>
        </w:rPr>
        <w:t xml:space="preserve"> Paraty, RJ,</w:t>
      </w:r>
      <w:r w:rsidRPr="00D13CA5">
        <w:rPr>
          <w:rFonts w:ascii="Times New Roman" w:hAnsi="Times New Roman"/>
          <w:sz w:val="24"/>
        </w:rPr>
        <w:t xml:space="preserve"> a mobilização é mais direta, em municípios com dispersão das comunidades, como Porto Real,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D13CA5">
        <w:rPr>
          <w:rFonts w:ascii="Times New Roman" w:hAnsi="Times New Roman"/>
          <w:sz w:val="24"/>
        </w:rPr>
        <w:t xml:space="preserve"> e municípios maiores, como Volta Redonda,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D13CA5">
        <w:rPr>
          <w:rFonts w:ascii="Times New Roman" w:hAnsi="Times New Roman"/>
          <w:sz w:val="24"/>
        </w:rPr>
        <w:t xml:space="preserve"> são necessárias estratégias amplas e contínuas. Além disso, a atuação das lideranças locais e o apoio da gestão escolar e municipal mostraram-se elementos decisivos para o sucesso das ações de gerenciamento dos resíduos sólidos inorgânicos em cada unidade.</w:t>
      </w:r>
    </w:p>
    <w:p w14:paraId="029EA905" w14:textId="5D9BEC01" w:rsidR="00DB35E1" w:rsidRDefault="00DB35E1" w:rsidP="00DB35E1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total de emissões de GEE</w:t>
      </w:r>
      <w:r w:rsidRPr="00DB35E1">
        <w:rPr>
          <w:rFonts w:ascii="Times New Roman" w:hAnsi="Times New Roman"/>
          <w:sz w:val="24"/>
        </w:rPr>
        <w:t xml:space="preserve">, </w:t>
      </w:r>
      <w:r w:rsidR="00240022">
        <w:rPr>
          <w:rFonts w:ascii="Times New Roman" w:hAnsi="Times New Roman"/>
          <w:sz w:val="24"/>
        </w:rPr>
        <w:t>9</w:t>
      </w:r>
      <w:r w:rsidRPr="00DB35E1">
        <w:rPr>
          <w:rFonts w:ascii="Times New Roman" w:hAnsi="Times New Roman"/>
          <w:sz w:val="24"/>
        </w:rPr>
        <w:t>,9</w:t>
      </w:r>
      <w:r w:rsidR="00240022">
        <w:rPr>
          <w:rFonts w:ascii="Times New Roman" w:hAnsi="Times New Roman"/>
          <w:sz w:val="24"/>
        </w:rPr>
        <w:t>15</w:t>
      </w:r>
      <w:r w:rsidRPr="00DB35E1">
        <w:rPr>
          <w:rFonts w:ascii="Times New Roman" w:hAnsi="Times New Roman"/>
          <w:sz w:val="24"/>
        </w:rPr>
        <w:t xml:space="preserve"> t de CO2,</w:t>
      </w:r>
      <w:r>
        <w:rPr>
          <w:rFonts w:ascii="Times New Roman" w:hAnsi="Times New Roman"/>
          <w:sz w:val="24"/>
        </w:rPr>
        <w:t xml:space="preserve"> mitigados correspondem ao somatório das emissões mitigadas tanto pela substituição de matérias-primas virgens por RSI reciclados, quanto pela economia de consumo energético possível através dessa substituição de material nos processos produtivos</w:t>
      </w:r>
      <w:r w:rsidR="0047460D">
        <w:rPr>
          <w:rFonts w:ascii="Times New Roman" w:hAnsi="Times New Roman"/>
          <w:sz w:val="24"/>
        </w:rPr>
        <w:t>.</w:t>
      </w:r>
    </w:p>
    <w:p w14:paraId="1328EB43" w14:textId="6C653B3E" w:rsidR="00DB35E1" w:rsidRDefault="00DB35E1" w:rsidP="00DB35E1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7A1BDDF" w14:textId="3802744C" w:rsidR="00DB35E1" w:rsidRPr="00092C16" w:rsidRDefault="00DB35E1" w:rsidP="00DB35E1">
      <w:pPr>
        <w:pStyle w:val="Legenda"/>
        <w:keepNext/>
        <w:spacing w:after="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3" w:name="_Toc188626128"/>
      <w:r w:rsidRPr="00092C16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Tabela 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2</w:t>
      </w:r>
      <w:r w:rsidRPr="00092C16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7B2834">
        <w:rPr>
          <w:rFonts w:ascii="Times New Roman" w:hAnsi="Times New Roman"/>
          <w:i w:val="0"/>
          <w:iCs w:val="0"/>
          <w:color w:val="auto"/>
          <w:sz w:val="24"/>
          <w:szCs w:val="24"/>
        </w:rPr>
        <w:t>–</w:t>
      </w:r>
      <w:r w:rsidRPr="00092C16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Total do serviço de mitigação de emissão de CO2 prestado pela reciclagem.</w:t>
      </w:r>
      <w:bookmarkEnd w:id="3"/>
    </w:p>
    <w:tbl>
      <w:tblPr>
        <w:tblW w:w="843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0"/>
      </w:tblGrid>
      <w:tr w:rsidR="00DB35E1" w:rsidRPr="001A665B" w14:paraId="602AD1EE" w14:textId="77777777" w:rsidTr="00F13BBC">
        <w:trPr>
          <w:trHeight w:val="600"/>
        </w:trPr>
        <w:tc>
          <w:tcPr>
            <w:tcW w:w="84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FDDD98" w14:textId="77777777" w:rsidR="00DB35E1" w:rsidRPr="00D13CA5" w:rsidRDefault="00DB35E1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Total de resíduos sólidos coletados (t)</w:t>
            </w:r>
          </w:p>
        </w:tc>
      </w:tr>
      <w:tr w:rsidR="00DB35E1" w:rsidRPr="001A665B" w14:paraId="3DF34BDC" w14:textId="77777777" w:rsidTr="00F13BBC">
        <w:trPr>
          <w:trHeight w:val="80"/>
        </w:trPr>
        <w:tc>
          <w:tcPr>
            <w:tcW w:w="84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C47CC4" w14:textId="77777777" w:rsidR="00DB35E1" w:rsidRPr="00D13CA5" w:rsidRDefault="00DB35E1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8,145</w:t>
            </w:r>
          </w:p>
        </w:tc>
      </w:tr>
      <w:tr w:rsidR="00DB35E1" w:rsidRPr="001A665B" w14:paraId="010B8591" w14:textId="77777777" w:rsidTr="00F13BBC">
        <w:trPr>
          <w:trHeight w:val="300"/>
        </w:trPr>
        <w:tc>
          <w:tcPr>
            <w:tcW w:w="84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B21CE6" w14:textId="77777777" w:rsidR="00DB35E1" w:rsidRPr="00D13CA5" w:rsidRDefault="00DB35E1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Economia de energia (MW h)</w:t>
            </w:r>
          </w:p>
        </w:tc>
      </w:tr>
      <w:tr w:rsidR="00DB35E1" w:rsidRPr="001A665B" w14:paraId="1EC3A843" w14:textId="77777777" w:rsidTr="00F13BBC">
        <w:trPr>
          <w:trHeight w:val="300"/>
        </w:trPr>
        <w:tc>
          <w:tcPr>
            <w:tcW w:w="84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20FAF45" w14:textId="77777777" w:rsidR="00DB35E1" w:rsidRPr="00D13CA5" w:rsidRDefault="00DB35E1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46,183</w:t>
            </w:r>
          </w:p>
        </w:tc>
      </w:tr>
      <w:tr w:rsidR="00DB35E1" w:rsidRPr="001A665B" w14:paraId="177E327E" w14:textId="77777777" w:rsidTr="0047460D">
        <w:trPr>
          <w:trHeight w:val="610"/>
        </w:trPr>
        <w:tc>
          <w:tcPr>
            <w:tcW w:w="84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1AC82D" w14:textId="77777777" w:rsidR="00DB35E1" w:rsidRPr="00D13CA5" w:rsidRDefault="00DB35E1" w:rsidP="00F13BBC">
            <w:pPr>
              <w:pStyle w:val="TableParagraph"/>
              <w:pBdr>
                <w:bottom w:val="single" w:sz="4" w:space="1" w:color="auto"/>
              </w:pBdr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lastRenderedPageBreak/>
              <w:t>Emissões de CO</w:t>
            </w:r>
            <w:r w:rsidRPr="003F5CD5">
              <w:rPr>
                <w:bCs/>
                <w:sz w:val="24"/>
                <w:vertAlign w:val="subscript"/>
              </w:rPr>
              <w:t>2</w:t>
            </w:r>
            <w:r w:rsidRPr="00D13CA5">
              <w:rPr>
                <w:bCs/>
                <w:sz w:val="24"/>
              </w:rPr>
              <w:t xml:space="preserve"> mitigadas pela economia de energia (tCO</w:t>
            </w:r>
            <w:r w:rsidRPr="003F5CD5">
              <w:rPr>
                <w:bCs/>
                <w:sz w:val="24"/>
                <w:vertAlign w:val="subscript"/>
              </w:rPr>
              <w:t>2</w:t>
            </w:r>
            <w:r w:rsidRPr="00D13CA5">
              <w:rPr>
                <w:bCs/>
                <w:sz w:val="24"/>
              </w:rPr>
              <w:t>)</w:t>
            </w:r>
          </w:p>
          <w:p w14:paraId="457E4086" w14:textId="11E5302C" w:rsidR="00DB35E1" w:rsidRPr="00D13CA5" w:rsidRDefault="001437D6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3</w:t>
            </w:r>
            <w:r w:rsidR="00DB35E1" w:rsidRPr="00D13CA5">
              <w:rPr>
                <w:bCs/>
                <w:sz w:val="24"/>
              </w:rPr>
              <w:t>,6</w:t>
            </w:r>
            <w:r w:rsidRPr="00D13CA5">
              <w:rPr>
                <w:bCs/>
                <w:sz w:val="24"/>
              </w:rPr>
              <w:t>43</w:t>
            </w:r>
          </w:p>
        </w:tc>
      </w:tr>
      <w:tr w:rsidR="00DB35E1" w:rsidRPr="001A665B" w14:paraId="2267A6F2" w14:textId="77777777" w:rsidTr="0047460D">
        <w:trPr>
          <w:trHeight w:val="600"/>
        </w:trPr>
        <w:tc>
          <w:tcPr>
            <w:tcW w:w="84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63CF22" w14:textId="77777777" w:rsidR="00DB35E1" w:rsidRPr="00D13CA5" w:rsidRDefault="00DB35E1" w:rsidP="00F13BBC">
            <w:pPr>
              <w:pStyle w:val="TableParagraph"/>
              <w:pBdr>
                <w:bottom w:val="single" w:sz="4" w:space="1" w:color="auto"/>
              </w:pBdr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Emissões de CO</w:t>
            </w:r>
            <w:r w:rsidRPr="003F5CD5">
              <w:rPr>
                <w:bCs/>
                <w:sz w:val="24"/>
                <w:vertAlign w:val="subscript"/>
              </w:rPr>
              <w:t>2</w:t>
            </w:r>
            <w:r w:rsidRPr="00D13CA5">
              <w:rPr>
                <w:bCs/>
                <w:sz w:val="24"/>
              </w:rPr>
              <w:t xml:space="preserve"> mitigadas pela reciclagem (tCO</w:t>
            </w:r>
            <w:r w:rsidRPr="003F5CD5">
              <w:rPr>
                <w:bCs/>
                <w:sz w:val="24"/>
                <w:vertAlign w:val="subscript"/>
              </w:rPr>
              <w:t>2</w:t>
            </w:r>
            <w:r w:rsidRPr="00D13CA5">
              <w:rPr>
                <w:bCs/>
                <w:sz w:val="24"/>
              </w:rPr>
              <w:t>)</w:t>
            </w:r>
          </w:p>
          <w:p w14:paraId="130E3082" w14:textId="77777777" w:rsidR="00DB35E1" w:rsidRPr="00D13CA5" w:rsidRDefault="00DB35E1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6,272</w:t>
            </w:r>
          </w:p>
        </w:tc>
      </w:tr>
    </w:tbl>
    <w:p w14:paraId="40AF7ED6" w14:textId="77777777" w:rsidR="00DB35E1" w:rsidRDefault="00DB35E1" w:rsidP="00DB35E1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5B56DC7B" w14:textId="711DD08B" w:rsidR="00EE4937" w:rsidRDefault="00EE4937" w:rsidP="00EE4937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relação as emissões de CO</w:t>
      </w:r>
      <w:r w:rsidRPr="00BB3B2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mitigadas, a </w:t>
      </w:r>
      <w:r w:rsidRPr="00753985">
        <w:rPr>
          <w:rFonts w:ascii="Times New Roman" w:hAnsi="Times New Roman"/>
          <w:i/>
          <w:iCs/>
          <w:sz w:val="24"/>
        </w:rPr>
        <w:t xml:space="preserve">United States Environmental </w:t>
      </w:r>
      <w:proofErr w:type="spellStart"/>
      <w:r w:rsidRPr="00753985">
        <w:rPr>
          <w:rFonts w:ascii="Times New Roman" w:hAnsi="Times New Roman"/>
          <w:i/>
          <w:iCs/>
          <w:sz w:val="24"/>
        </w:rPr>
        <w:t>Protection</w:t>
      </w:r>
      <w:proofErr w:type="spellEnd"/>
      <w:r w:rsidRPr="00753985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753985">
        <w:rPr>
          <w:rFonts w:ascii="Times New Roman" w:hAnsi="Times New Roman"/>
          <w:i/>
          <w:iCs/>
          <w:sz w:val="24"/>
        </w:rPr>
        <w:t>Agency</w:t>
      </w:r>
      <w:proofErr w:type="spellEnd"/>
      <w:r w:rsidRPr="00753985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(EPA) disponibiliza calculadora de conversão que possibilita a tradução dos dados de emissões para parâmetros concretos. No caso do total de emissões mitigadas com o gerenciamento dos RSI, estas emissões correspondem ao consumo de 4263 litros de gasolina (EPA, 2024).</w:t>
      </w:r>
    </w:p>
    <w:p w14:paraId="612C3DFF" w14:textId="667E16EE" w:rsidR="0047460D" w:rsidRPr="00D13CA5" w:rsidRDefault="0047460D" w:rsidP="0047460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O total acumulado de RSO coletados e tratados pelas três unidades do Projeto </w:t>
      </w:r>
      <w:r w:rsidR="00F13BBC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>, assim como as emissões de CO</w:t>
      </w:r>
      <w:r w:rsidRPr="00D13CA5">
        <w:rPr>
          <w:rFonts w:ascii="Times New Roman" w:hAnsi="Times New Roman"/>
          <w:sz w:val="24"/>
          <w:vertAlign w:val="subscript"/>
        </w:rPr>
        <w:t xml:space="preserve">2-eq </w:t>
      </w:r>
      <w:r w:rsidRPr="00D13CA5">
        <w:rPr>
          <w:rFonts w:ascii="Times New Roman" w:hAnsi="Times New Roman"/>
          <w:sz w:val="24"/>
        </w:rPr>
        <w:t xml:space="preserve">evitadas através desse processo, constam nas Tabela </w:t>
      </w:r>
      <w:r w:rsidR="00AA2E47" w:rsidRPr="00D13CA5">
        <w:rPr>
          <w:rFonts w:ascii="Times New Roman" w:hAnsi="Times New Roman"/>
          <w:sz w:val="24"/>
        </w:rPr>
        <w:t>3</w:t>
      </w:r>
      <w:r w:rsidRPr="00D13CA5">
        <w:rPr>
          <w:rFonts w:ascii="Times New Roman" w:hAnsi="Times New Roman"/>
          <w:sz w:val="24"/>
        </w:rPr>
        <w:t xml:space="preserve"> e </w:t>
      </w:r>
      <w:r w:rsidR="00AA2E47" w:rsidRPr="00D13CA5">
        <w:rPr>
          <w:rFonts w:ascii="Times New Roman" w:hAnsi="Times New Roman"/>
          <w:sz w:val="24"/>
        </w:rPr>
        <w:t xml:space="preserve">na </w:t>
      </w:r>
      <w:r w:rsidRPr="00D13CA5">
        <w:rPr>
          <w:rFonts w:ascii="Times New Roman" w:hAnsi="Times New Roman"/>
          <w:sz w:val="24"/>
        </w:rPr>
        <w:t xml:space="preserve">Tabela </w:t>
      </w:r>
      <w:r w:rsidR="00AA2E47" w:rsidRPr="00D13CA5">
        <w:rPr>
          <w:rFonts w:ascii="Times New Roman" w:hAnsi="Times New Roman"/>
          <w:sz w:val="24"/>
        </w:rPr>
        <w:t>4</w:t>
      </w:r>
      <w:r w:rsidRPr="00D13CA5">
        <w:rPr>
          <w:rFonts w:ascii="Times New Roman" w:hAnsi="Times New Roman"/>
          <w:sz w:val="24"/>
        </w:rPr>
        <w:t>, respectivamente</w:t>
      </w:r>
      <w:r w:rsidR="00F13BBC" w:rsidRPr="00D13CA5">
        <w:rPr>
          <w:rFonts w:ascii="Times New Roman" w:hAnsi="Times New Roman"/>
          <w:sz w:val="24"/>
        </w:rPr>
        <w:t>.</w:t>
      </w:r>
    </w:p>
    <w:p w14:paraId="795349CF" w14:textId="77777777" w:rsidR="0047460D" w:rsidRPr="00D13CA5" w:rsidRDefault="0047460D" w:rsidP="0047460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B4372CD" w14:textId="7F3AE847" w:rsidR="0047460D" w:rsidRPr="00D13CA5" w:rsidRDefault="0047460D" w:rsidP="0047460D">
      <w:pPr>
        <w:pStyle w:val="Legenda"/>
        <w:keepNext/>
        <w:spacing w:after="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4" w:name="_Toc188626130"/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Tabela </w:t>
      </w:r>
      <w:r w:rsidR="00AA2E47"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3 </w:t>
      </w:r>
      <w:r w:rsidRPr="00D13CA5">
        <w:rPr>
          <w:rFonts w:ascii="Times New Roman" w:hAnsi="Times New Roman"/>
          <w:i w:val="0"/>
          <w:iCs w:val="0"/>
          <w:color w:val="auto"/>
          <w:sz w:val="24"/>
          <w:szCs w:val="24"/>
        </w:rPr>
        <w:t>– Quantitativo de RSO coletados por unidade.</w:t>
      </w:r>
      <w:bookmarkEnd w:id="4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7"/>
        <w:gridCol w:w="1417"/>
        <w:gridCol w:w="1417"/>
        <w:gridCol w:w="1418"/>
      </w:tblGrid>
      <w:tr w:rsidR="0047460D" w:rsidRPr="00D13CA5" w14:paraId="7F9EBC8D" w14:textId="77777777" w:rsidTr="00F13BBC"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14:paraId="3597EBD4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Paraty</w:t>
            </w: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14:paraId="203EF730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Porto Real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14:paraId="2A9DB7BE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Volta Redonda</w:t>
            </w:r>
          </w:p>
        </w:tc>
      </w:tr>
      <w:tr w:rsidR="0047460D" w:rsidRPr="00D13CA5" w14:paraId="2285E719" w14:textId="77777777" w:rsidTr="00F13BBC"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7B466D6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Início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ED9CBBA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Fim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746969F2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Início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B125EC8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Fim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5ACAC77E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Início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30540664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Fim</w:t>
            </w:r>
          </w:p>
        </w:tc>
      </w:tr>
      <w:tr w:rsidR="0047460D" w:rsidRPr="00D13CA5" w14:paraId="3EF5B3C5" w14:textId="77777777" w:rsidTr="00F13BBC"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5FF697A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03/03/2024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27E140F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30/05/2024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9D459C5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02/10/2023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528497A2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12/07/2024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43B9FD1D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07/09/2023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51302484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10/06/2024</w:t>
            </w:r>
          </w:p>
        </w:tc>
      </w:tr>
      <w:tr w:rsidR="0047460D" w:rsidRPr="00D13CA5" w14:paraId="57016F35" w14:textId="77777777" w:rsidTr="00F13BBC">
        <w:tc>
          <w:tcPr>
            <w:tcW w:w="3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E61E8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 xml:space="preserve">Total de RSO coletados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EFD37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 xml:space="preserve">Total de RSO coletados 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4EB3E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 xml:space="preserve">Total de RSO coletados </w:t>
            </w:r>
          </w:p>
        </w:tc>
      </w:tr>
      <w:tr w:rsidR="0047460D" w:rsidRPr="00D13CA5" w14:paraId="1F88AA5E" w14:textId="77777777" w:rsidTr="00F13BBC">
        <w:tc>
          <w:tcPr>
            <w:tcW w:w="3070" w:type="dxa"/>
            <w:gridSpan w:val="2"/>
            <w:tcBorders>
              <w:top w:val="single" w:sz="4" w:space="0" w:color="auto"/>
            </w:tcBorders>
          </w:tcPr>
          <w:p w14:paraId="6D141B3E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1090,12 kg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</w:tcBorders>
          </w:tcPr>
          <w:p w14:paraId="3766154E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4717,00 kg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</w:tcBorders>
          </w:tcPr>
          <w:p w14:paraId="624C2DDF" w14:textId="77777777" w:rsidR="0047460D" w:rsidRPr="00D13CA5" w:rsidRDefault="0047460D" w:rsidP="00666AC6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673,75 kg</w:t>
            </w:r>
          </w:p>
        </w:tc>
      </w:tr>
    </w:tbl>
    <w:p w14:paraId="29B1557A" w14:textId="77777777" w:rsidR="00DB35E1" w:rsidRPr="00D13CA5" w:rsidRDefault="00DB35E1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2C24BE89" w14:textId="78107ACA" w:rsidR="005952E8" w:rsidRDefault="0047460D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>Em Porto Real</w:t>
      </w:r>
      <w:r w:rsidR="00F13BBC" w:rsidRPr="00D13CA5">
        <w:rPr>
          <w:rFonts w:ascii="Times New Roman" w:hAnsi="Times New Roman"/>
          <w:sz w:val="24"/>
        </w:rPr>
        <w:t>, RJ,</w:t>
      </w:r>
      <w:r w:rsidRPr="00D13CA5">
        <w:rPr>
          <w:rFonts w:ascii="Times New Roman" w:hAnsi="Times New Roman"/>
          <w:sz w:val="24"/>
        </w:rPr>
        <w:t xml:space="preserve"> 7,16% dos resíduos orgânicos tratados tiveram origem nas residências dos alunos, com um desperdício estimado de 0,044 kg por refeição</w:t>
      </w:r>
      <w:r w:rsidR="00545C5B" w:rsidRPr="00D13CA5">
        <w:rPr>
          <w:rFonts w:ascii="Times New Roman" w:hAnsi="Times New Roman"/>
          <w:sz w:val="24"/>
        </w:rPr>
        <w:t xml:space="preserve"> preparada na escola</w:t>
      </w:r>
      <w:r w:rsidRPr="00D13CA5">
        <w:rPr>
          <w:rFonts w:ascii="Times New Roman" w:hAnsi="Times New Roman"/>
          <w:sz w:val="24"/>
        </w:rPr>
        <w:t>. Em Volta Redonda,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D13CA5">
        <w:rPr>
          <w:rFonts w:ascii="Times New Roman" w:hAnsi="Times New Roman"/>
          <w:sz w:val="24"/>
        </w:rPr>
        <w:t xml:space="preserve"> apesar da compostagem ter iniciado com apoio externo antes da construção das composteiras, foram tratados 673,75 kg em 9 meses, com um desperdício de 0,068 kg por refeição</w:t>
      </w:r>
      <w:r w:rsidR="00545C5B" w:rsidRPr="00D13CA5">
        <w:rPr>
          <w:rFonts w:ascii="Times New Roman" w:hAnsi="Times New Roman"/>
          <w:sz w:val="24"/>
        </w:rPr>
        <w:t xml:space="preserve"> preparada na escola</w:t>
      </w:r>
      <w:r w:rsidRPr="00D13CA5">
        <w:rPr>
          <w:rFonts w:ascii="Times New Roman" w:hAnsi="Times New Roman"/>
          <w:sz w:val="24"/>
        </w:rPr>
        <w:t>. Já em Paraty,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47460D">
        <w:rPr>
          <w:rFonts w:ascii="Times New Roman" w:hAnsi="Times New Roman"/>
          <w:sz w:val="24"/>
        </w:rPr>
        <w:t xml:space="preserve"> 31,80% </w:t>
      </w:r>
      <w:r>
        <w:rPr>
          <w:rFonts w:ascii="Times New Roman" w:hAnsi="Times New Roman"/>
          <w:sz w:val="24"/>
        </w:rPr>
        <w:t>dos resíduos coletados foram</w:t>
      </w:r>
      <w:r w:rsidRPr="0047460D">
        <w:rPr>
          <w:rFonts w:ascii="Times New Roman" w:hAnsi="Times New Roman"/>
          <w:sz w:val="24"/>
        </w:rPr>
        <w:t xml:space="preserve"> provenientes de residências </w:t>
      </w:r>
      <w:r>
        <w:rPr>
          <w:rFonts w:ascii="Times New Roman" w:hAnsi="Times New Roman"/>
          <w:sz w:val="24"/>
        </w:rPr>
        <w:t xml:space="preserve">dos alunos </w:t>
      </w:r>
      <w:r w:rsidRPr="0047460D">
        <w:rPr>
          <w:rFonts w:ascii="Times New Roman" w:hAnsi="Times New Roman"/>
          <w:sz w:val="24"/>
        </w:rPr>
        <w:t>voluntári</w:t>
      </w:r>
      <w:r>
        <w:rPr>
          <w:rFonts w:ascii="Times New Roman" w:hAnsi="Times New Roman"/>
          <w:sz w:val="24"/>
        </w:rPr>
        <w:t>o</w:t>
      </w:r>
      <w:r w:rsidRPr="0047460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Pr="0047460D">
        <w:rPr>
          <w:rFonts w:ascii="Times New Roman" w:hAnsi="Times New Roman"/>
          <w:sz w:val="24"/>
        </w:rPr>
        <w:t>apresentando, no entanto, o maior índice de desperdício, com 0,372 kg por refeição</w:t>
      </w:r>
      <w:r w:rsidR="00545C5B">
        <w:rPr>
          <w:rFonts w:ascii="Times New Roman" w:hAnsi="Times New Roman"/>
          <w:sz w:val="24"/>
        </w:rPr>
        <w:t xml:space="preserve"> preparada na escola</w:t>
      </w:r>
      <w:r w:rsidRPr="0047460D">
        <w:rPr>
          <w:rFonts w:ascii="Times New Roman" w:hAnsi="Times New Roman"/>
          <w:sz w:val="24"/>
        </w:rPr>
        <w:t>.</w:t>
      </w:r>
    </w:p>
    <w:p w14:paraId="252EE7A8" w14:textId="77777777" w:rsidR="00F13BBC" w:rsidRDefault="00F13BBC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5151747" w14:textId="6E3601EC" w:rsidR="00545C5B" w:rsidRDefault="00545C5B" w:rsidP="00545C5B">
      <w:pPr>
        <w:pStyle w:val="Legenda"/>
        <w:spacing w:after="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bookmarkStart w:id="5" w:name="_Toc188626131"/>
      <w:r w:rsidRPr="0014459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Tabela </w:t>
      </w:r>
      <w:r w:rsidR="00AA2E47">
        <w:rPr>
          <w:rFonts w:ascii="Times New Roman" w:hAnsi="Times New Roman"/>
          <w:i w:val="0"/>
          <w:iCs w:val="0"/>
          <w:color w:val="auto"/>
          <w:sz w:val="24"/>
          <w:szCs w:val="24"/>
        </w:rPr>
        <w:t>4</w:t>
      </w:r>
      <w:r w:rsidRPr="0014459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7B2834">
        <w:rPr>
          <w:rFonts w:ascii="Times New Roman" w:hAnsi="Times New Roman"/>
          <w:i w:val="0"/>
          <w:iCs w:val="0"/>
          <w:color w:val="auto"/>
          <w:sz w:val="24"/>
          <w:szCs w:val="24"/>
        </w:rPr>
        <w:t>–</w:t>
      </w: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144598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Total do serviço de mitigação de emissão de </w:t>
      </w:r>
      <w:r w:rsidRPr="00364060">
        <w:rPr>
          <w:rFonts w:ascii="Times New Roman" w:hAnsi="Times New Roman"/>
          <w:i w:val="0"/>
          <w:iCs w:val="0"/>
          <w:color w:val="auto"/>
          <w:sz w:val="24"/>
          <w:szCs w:val="24"/>
        </w:rPr>
        <w:t>CO</w:t>
      </w:r>
      <w:r w:rsidRPr="00364060">
        <w:rPr>
          <w:rFonts w:ascii="Times New Roman" w:hAnsi="Times New Roman"/>
          <w:i w:val="0"/>
          <w:iCs w:val="0"/>
          <w:color w:val="auto"/>
          <w:sz w:val="24"/>
          <w:vertAlign w:val="subscript"/>
        </w:rPr>
        <w:t>2-eq</w:t>
      </w:r>
      <w:r w:rsidRPr="00364060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</w:t>
      </w:r>
      <w:r w:rsidRPr="00144598">
        <w:rPr>
          <w:rFonts w:ascii="Times New Roman" w:hAnsi="Times New Roman"/>
          <w:i w:val="0"/>
          <w:iCs w:val="0"/>
          <w:color w:val="auto"/>
          <w:sz w:val="24"/>
          <w:szCs w:val="24"/>
        </w:rPr>
        <w:t>prestado pela compostagem.</w:t>
      </w:r>
      <w:bookmarkEnd w:id="5"/>
    </w:p>
    <w:tbl>
      <w:tblPr>
        <w:tblStyle w:val="Tabelacomgrade"/>
        <w:tblW w:w="8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45C5B" w14:paraId="56979454" w14:textId="77777777" w:rsidTr="00545C5B"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CC789C3" w14:textId="77777777" w:rsidR="00545C5B" w:rsidRPr="00D13CA5" w:rsidRDefault="00545C5B" w:rsidP="00F13BBC">
            <w:pPr>
              <w:pStyle w:val="TableParagraph"/>
              <w:pBdr>
                <w:bottom w:val="single" w:sz="4" w:space="1" w:color="auto"/>
              </w:pBdr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Total de resíduos orgânicos coletados (t)</w:t>
            </w:r>
          </w:p>
          <w:p w14:paraId="152AAB3A" w14:textId="6DFCE1DE" w:rsidR="00545C5B" w:rsidRPr="00D13CA5" w:rsidRDefault="00545C5B" w:rsidP="00545C5B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lastRenderedPageBreak/>
              <w:t>6,480</w:t>
            </w:r>
          </w:p>
        </w:tc>
      </w:tr>
      <w:tr w:rsidR="00545C5B" w14:paraId="6B2719AD" w14:textId="77777777" w:rsidTr="00545C5B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546A3B8" w14:textId="77777777" w:rsidR="00545C5B" w:rsidRPr="00D13CA5" w:rsidRDefault="00545C5B" w:rsidP="00F13BBC">
            <w:pPr>
              <w:pStyle w:val="TableParagraph"/>
              <w:pBdr>
                <w:bottom w:val="single" w:sz="4" w:space="1" w:color="auto"/>
              </w:pBdr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lastRenderedPageBreak/>
              <w:t>Emissões de CO2-eq evitadas (t)</w:t>
            </w:r>
          </w:p>
          <w:p w14:paraId="10222BE4" w14:textId="220394C6" w:rsidR="00545C5B" w:rsidRPr="00D13CA5" w:rsidRDefault="00545C5B" w:rsidP="00545C5B">
            <w:pPr>
              <w:pStyle w:val="TableParagraph"/>
              <w:spacing w:line="360" w:lineRule="auto"/>
              <w:ind w:left="51"/>
              <w:jc w:val="center"/>
              <w:rPr>
                <w:bCs/>
                <w:sz w:val="24"/>
              </w:rPr>
            </w:pPr>
            <w:r w:rsidRPr="00D13CA5">
              <w:rPr>
                <w:bCs/>
                <w:sz w:val="24"/>
              </w:rPr>
              <w:t>4,958</w:t>
            </w:r>
          </w:p>
        </w:tc>
      </w:tr>
    </w:tbl>
    <w:p w14:paraId="7EC5CB4C" w14:textId="77777777" w:rsidR="00545C5B" w:rsidRDefault="00545C5B" w:rsidP="00C059DA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3CD427B8" w14:textId="77777777" w:rsidR="00545C5B" w:rsidRDefault="00545C5B" w:rsidP="00545C5B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Analogamente às emissões de CO</w:t>
      </w:r>
      <w:r w:rsidRPr="00BB3B2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mitigadas através da reciclagem, pode-se utilizar a calculadora de conversão da EPA para traduzir os dados de emissões de CO</w:t>
      </w:r>
      <w:r w:rsidRPr="00163D93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mitigados pela compostagem para parâmetros concretos. No caso do total de emissões mitigadas com o gerenciamento dos RSO, estas emissões correspondem ao consumo de 2132 litros de gasolina (EPA, 2024).</w:t>
      </w:r>
    </w:p>
    <w:p w14:paraId="6E415720" w14:textId="38A7D336" w:rsidR="00745D5D" w:rsidRDefault="00745D5D" w:rsidP="00745D5D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Embora os resultados evidenciem o potencial do Projeto CESCOLA na oferta do serviço ecossistêmico de mitigação</w:t>
      </w:r>
      <w:r w:rsidR="00FC6D4C">
        <w:rPr>
          <w:rFonts w:ascii="Times New Roman" w:hAnsi="Times New Roman" w:cs="Times New Roman"/>
          <w:sz w:val="24"/>
          <w:szCs w:val="24"/>
        </w:rPr>
        <w:t xml:space="preserve"> de </w:t>
      </w:r>
      <w:r w:rsidR="00FC6D4C" w:rsidRPr="00364060">
        <w:rPr>
          <w:rFonts w:ascii="Times New Roman" w:hAnsi="Times New Roman"/>
          <w:sz w:val="24"/>
          <w:szCs w:val="24"/>
        </w:rPr>
        <w:t>CO</w:t>
      </w:r>
      <w:r w:rsidR="00FC6D4C" w:rsidRPr="00364060">
        <w:rPr>
          <w:rFonts w:ascii="Times New Roman" w:hAnsi="Times New Roman"/>
          <w:sz w:val="24"/>
          <w:vertAlign w:val="subscript"/>
        </w:rPr>
        <w:t>2-eq</w:t>
      </w:r>
      <w:r w:rsidR="00FC6D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limitações metodológicas devem ser consideradas. A quantificação dos resíduos orgânicos coletados estava diretamente relacionada com o engajamento de alunos e funcionários na coleta seletiva. Sendo assim, algumas perdas ocorridas durante o armazenamento, preparo, distribuição ou pós-consumo, podem ter sido desconsideradas</w:t>
      </w:r>
      <w:r w:rsidR="00FC6D4C">
        <w:rPr>
          <w:rFonts w:ascii="Times New Roman" w:hAnsi="Times New Roman" w:cs="Times New Roman"/>
          <w:sz w:val="24"/>
          <w:szCs w:val="24"/>
        </w:rPr>
        <w:t>, o que impacta na mensuração do serviço ecossistêmico prestado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65720E" w14:textId="77777777" w:rsidR="00F13BBC" w:rsidRDefault="006851A9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 a colheita realizada em 01 de março de 2024 obteve-se uma produção de 35 kg de tomate cereja, que foram destinados ao refeitório da escola, além de entregues a alunos voluntários do projeto. </w:t>
      </w:r>
      <w:r w:rsidR="00F67BDE">
        <w:rPr>
          <w:rFonts w:ascii="Times New Roman" w:hAnsi="Times New Roman"/>
          <w:sz w:val="24"/>
        </w:rPr>
        <w:t>Um segundo plantio ocorreu em 10 de maio de 2024, ocupando os 51 m² disponíveis para cultivo com mudas de alface, rúcula, couve, bertalha, cebolinha, tomate, beterraba e berinjela. Deste plantio, obteve-se 14kg de hortaliças, em colheitas realizadas em 19 de junho, 3 de julho, e 10 de julho de 2024.</w:t>
      </w:r>
    </w:p>
    <w:p w14:paraId="01AA5D19" w14:textId="2D4DB9A9" w:rsidR="00A7346F" w:rsidRDefault="00F67BDE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O fato </w:t>
      </w:r>
      <w:r w:rsidR="00514AB8" w:rsidRPr="00D13CA5">
        <w:rPr>
          <w:rFonts w:ascii="Times New Roman" w:hAnsi="Times New Roman"/>
          <w:sz w:val="24"/>
        </w:rPr>
        <w:t>de a</w:t>
      </w:r>
      <w:r w:rsidRPr="00D13CA5">
        <w:rPr>
          <w:rFonts w:ascii="Times New Roman" w:hAnsi="Times New Roman"/>
          <w:sz w:val="24"/>
        </w:rPr>
        <w:t xml:space="preserve"> produtividade obtida ter sido inferior à produtividade esperada, 112kg, pode ter sido influenciada por fatores geográficos, climatológicos, fertilidade do solo, disponibilidade hídrica, incidência de pragas e doenças, além de aspectos relacionados ao sistema de cultivo. Como perdas adicionais pode-se citar relatos obtidos de alunos da unidade que colhiam os frutos durante horários vagos, impedindo o registro deste quantitativo. Apesar disso, pode-se considerar esta ocorrência como um meio de despertar de interesse destes alunos para a atividade que foi desenvolvida. </w:t>
      </w:r>
    </w:p>
    <w:p w14:paraId="33DCDB71" w14:textId="72F2298F" w:rsidR="00F67BDE" w:rsidRDefault="00F67BDE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Cada unidade do projeto possui quantitativos distintos de funcionários, alunos, e consequentemente, de famílias envolvidas. </w:t>
      </w:r>
      <w:r w:rsidR="005D1D53">
        <w:rPr>
          <w:rFonts w:ascii="Times New Roman" w:hAnsi="Times New Roman"/>
          <w:sz w:val="24"/>
        </w:rPr>
        <w:t>O Gráfico</w:t>
      </w:r>
      <w:r w:rsidRPr="00D13CA5">
        <w:rPr>
          <w:rFonts w:ascii="Times New Roman" w:hAnsi="Times New Roman"/>
          <w:sz w:val="24"/>
        </w:rPr>
        <w:t xml:space="preserve"> </w:t>
      </w:r>
      <w:r w:rsidR="005D1D53">
        <w:rPr>
          <w:rFonts w:ascii="Times New Roman" w:hAnsi="Times New Roman"/>
          <w:sz w:val="24"/>
        </w:rPr>
        <w:t>1</w:t>
      </w:r>
      <w:r w:rsidRPr="00D13CA5">
        <w:rPr>
          <w:rFonts w:ascii="Times New Roman" w:hAnsi="Times New Roman"/>
          <w:sz w:val="24"/>
        </w:rPr>
        <w:t xml:space="preserve"> apresenta o número de participações, diretas e indiretas, nas ações propostas, que culminaram no total de 1.138 participações. Destas participações, 86% foram atribuídas à unidade de Porto Real,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D13CA5">
        <w:rPr>
          <w:rFonts w:ascii="Times New Roman" w:hAnsi="Times New Roman"/>
          <w:sz w:val="24"/>
        </w:rPr>
        <w:t xml:space="preserve"> 8% à unidade de Paraty,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D13CA5">
        <w:rPr>
          <w:rFonts w:ascii="Times New Roman" w:hAnsi="Times New Roman"/>
          <w:sz w:val="24"/>
        </w:rPr>
        <w:t xml:space="preserve"> e 6% à unidade de Volta Redonda</w:t>
      </w:r>
      <w:r w:rsidR="006C4BF7" w:rsidRPr="00D13CA5">
        <w:rPr>
          <w:rFonts w:ascii="Times New Roman" w:hAnsi="Times New Roman"/>
          <w:sz w:val="24"/>
        </w:rPr>
        <w:t>, RJ</w:t>
      </w:r>
      <w:r w:rsidRPr="00D13CA5">
        <w:rPr>
          <w:rFonts w:ascii="Times New Roman" w:hAnsi="Times New Roman"/>
          <w:sz w:val="24"/>
        </w:rPr>
        <w:t>.</w:t>
      </w:r>
    </w:p>
    <w:p w14:paraId="6CD0E66A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7ECBCCE7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4365B51C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67CA701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FB0B859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654CF450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D00CE1F" w14:textId="77777777" w:rsidR="005D1D53" w:rsidRDefault="005D1D53" w:rsidP="00F13BBC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107AFF5B" w14:textId="5D7F89B8" w:rsidR="005D1D53" w:rsidRPr="005D1D53" w:rsidRDefault="005D1D53" w:rsidP="005D1D53">
      <w:pPr>
        <w:pStyle w:val="Legenda"/>
        <w:spacing w:after="0" w:line="36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D1D53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Gráfico </w:t>
      </w:r>
      <w:r w:rsidRPr="005D1D53">
        <w:rPr>
          <w:rFonts w:ascii="Times New Roman" w:hAnsi="Times New Roman"/>
          <w:i w:val="0"/>
          <w:iCs w:val="0"/>
          <w:color w:val="auto"/>
          <w:sz w:val="24"/>
          <w:szCs w:val="24"/>
        </w:rPr>
        <w:fldChar w:fldCharType="begin"/>
      </w:r>
      <w:r w:rsidRPr="005D1D53">
        <w:rPr>
          <w:rFonts w:ascii="Times New Roman" w:hAnsi="Times New Roman"/>
          <w:i w:val="0"/>
          <w:iCs w:val="0"/>
          <w:color w:val="auto"/>
          <w:sz w:val="24"/>
          <w:szCs w:val="24"/>
        </w:rPr>
        <w:instrText xml:space="preserve"> SEQ Gráfico \* ARABIC </w:instrText>
      </w:r>
      <w:r w:rsidRPr="005D1D53">
        <w:rPr>
          <w:rFonts w:ascii="Times New Roman" w:hAnsi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i w:val="0"/>
          <w:iCs w:val="0"/>
          <w:noProof/>
          <w:color w:val="auto"/>
          <w:sz w:val="24"/>
          <w:szCs w:val="24"/>
        </w:rPr>
        <w:t>1</w:t>
      </w:r>
      <w:r w:rsidRPr="005D1D53">
        <w:rPr>
          <w:rFonts w:ascii="Times New Roman" w:hAnsi="Times New Roman"/>
          <w:i w:val="0"/>
          <w:iCs w:val="0"/>
          <w:color w:val="auto"/>
          <w:sz w:val="24"/>
          <w:szCs w:val="24"/>
        </w:rPr>
        <w:fldChar w:fldCharType="end"/>
      </w:r>
      <w:r w:rsidRPr="005D1D53">
        <w:rPr>
          <w:rFonts w:ascii="Times New Roman" w:hAnsi="Times New Roman"/>
          <w:i w:val="0"/>
          <w:iCs w:val="0"/>
          <w:color w:val="auto"/>
          <w:sz w:val="24"/>
          <w:szCs w:val="24"/>
        </w:rPr>
        <w:t xml:space="preserve"> – Total de participações por unidade do Projeto CESCOLA.</w:t>
      </w:r>
    </w:p>
    <w:p w14:paraId="7B3339D4" w14:textId="77777777" w:rsidR="005D1D53" w:rsidRDefault="005D1D53" w:rsidP="005D1D5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4A41699" wp14:editId="7CFBDBD8">
            <wp:extent cx="5543550" cy="2743200"/>
            <wp:effectExtent l="0" t="0" r="0" b="0"/>
            <wp:docPr id="9448509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458CACB-E83E-5C6C-5081-4B3BE95DD5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ADB4E3A" w14:textId="77777777" w:rsidR="00F67BDE" w:rsidRDefault="00F67BDE" w:rsidP="00F67BDE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02C29389" w14:textId="77777777" w:rsidR="00745D5D" w:rsidRDefault="009A5297" w:rsidP="00F67B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CA5">
        <w:rPr>
          <w:rFonts w:ascii="Times New Roman" w:hAnsi="Times New Roman"/>
          <w:sz w:val="24"/>
        </w:rPr>
        <w:t>Em Paraty,</w:t>
      </w:r>
      <w:r w:rsidR="006C4BF7" w:rsidRPr="00D13CA5">
        <w:rPr>
          <w:rFonts w:ascii="Times New Roman" w:hAnsi="Times New Roman"/>
          <w:sz w:val="24"/>
        </w:rPr>
        <w:t xml:space="preserve"> RJ,</w:t>
      </w:r>
      <w:r w:rsidRPr="00D13CA5">
        <w:rPr>
          <w:rFonts w:ascii="Times New Roman" w:hAnsi="Times New Roman"/>
          <w:sz w:val="24"/>
        </w:rPr>
        <w:t xml:space="preserve"> no período de 31 de maio a 27 de junho de 2023, os alunos representaram 65% do total de participações, seguidos por funcionários (19%) e membros da comunidade (16%). Em Porto Real, </w:t>
      </w:r>
      <w:r w:rsidR="006C4BF7" w:rsidRPr="00D13CA5">
        <w:rPr>
          <w:rFonts w:ascii="Times New Roman" w:hAnsi="Times New Roman"/>
          <w:sz w:val="24"/>
        </w:rPr>
        <w:t xml:space="preserve">RJ, </w:t>
      </w:r>
      <w:r w:rsidRPr="00D13CA5">
        <w:rPr>
          <w:rFonts w:ascii="Times New Roman" w:hAnsi="Times New Roman"/>
          <w:sz w:val="24"/>
        </w:rPr>
        <w:t>de 10 de maio de 2023 a 24 de abril de 2024, os estudantes também foram o grupo mais representativo, com 66% das participações, o que possivelmente influenciou o expressivo envolvimento da comunidade externa (24%), enquanto os funcionários corresponderam a 10%. Esses dados sugerem o potencial do corpo discente como vetor de mobilização social e disseminação de práticas ambientais.</w:t>
      </w:r>
      <w:r w:rsidR="006C4BF7">
        <w:rPr>
          <w:rFonts w:ascii="Times New Roman" w:hAnsi="Times New Roman"/>
          <w:sz w:val="24"/>
        </w:rPr>
        <w:t xml:space="preserve"> </w:t>
      </w:r>
      <w:r w:rsidRPr="00D13CA5">
        <w:rPr>
          <w:rFonts w:ascii="Times New Roman" w:hAnsi="Times New Roman"/>
          <w:sz w:val="24"/>
        </w:rPr>
        <w:t>Em Volta Redonda</w:t>
      </w:r>
      <w:r w:rsidR="006C4BF7" w:rsidRPr="00D13CA5">
        <w:rPr>
          <w:rFonts w:ascii="Times New Roman" w:hAnsi="Times New Roman"/>
          <w:sz w:val="24"/>
        </w:rPr>
        <w:t>, RJ,</w:t>
      </w:r>
      <w:r w:rsidRPr="00D13CA5">
        <w:rPr>
          <w:rFonts w:ascii="Times New Roman" w:hAnsi="Times New Roman"/>
          <w:sz w:val="24"/>
        </w:rPr>
        <w:t xml:space="preserve"> houve uma concentração inicial na participação dos funcionários (33%). A partir de dezembro de 2023, observou-se o início da participação estudantil, que passou a representar 61% do total, enquanto a comunidade externa representou 6% das participações.</w:t>
      </w:r>
      <w:r w:rsidR="006C4BF7" w:rsidRPr="00D13CA5">
        <w:rPr>
          <w:rFonts w:ascii="Times New Roman" w:hAnsi="Times New Roman"/>
          <w:sz w:val="24"/>
        </w:rPr>
        <w:t xml:space="preserve"> Com a execução do projeto</w:t>
      </w:r>
      <w:r w:rsidR="006C4BF7" w:rsidRPr="00D13CA5">
        <w:rPr>
          <w:rFonts w:ascii="Times New Roman" w:hAnsi="Times New Roman" w:cs="Times New Roman"/>
          <w:sz w:val="24"/>
          <w:szCs w:val="24"/>
        </w:rPr>
        <w:t xml:space="preserve"> CESCOLA nos três municípios, a visibilidade do projeto tem aumentado. Novos municípios demonstraram interesse em implantar o projeto CESCOLA em uma unidade escolar e a partir do ano de 2025 implantamos no </w:t>
      </w:r>
      <w:r w:rsidR="006C4BF7" w:rsidRPr="00D13CA5">
        <w:rPr>
          <w:rFonts w:ascii="Times New Roman" w:hAnsi="Times New Roman" w:cs="Times New Roman"/>
          <w:sz w:val="24"/>
          <w:szCs w:val="24"/>
        </w:rPr>
        <w:lastRenderedPageBreak/>
        <w:t xml:space="preserve">distrito de Engenheiro Passos, Resende, RJ, </w:t>
      </w:r>
      <w:r w:rsidR="00D13CA5" w:rsidRPr="00D13CA5">
        <w:rPr>
          <w:rFonts w:ascii="Times New Roman" w:hAnsi="Times New Roman" w:cs="Times New Roman"/>
          <w:sz w:val="24"/>
          <w:szCs w:val="24"/>
        </w:rPr>
        <w:t>sendo a</w:t>
      </w:r>
      <w:r w:rsidR="006C4BF7" w:rsidRPr="00D13CA5">
        <w:rPr>
          <w:rFonts w:ascii="Times New Roman" w:hAnsi="Times New Roman" w:cs="Times New Roman"/>
          <w:sz w:val="24"/>
          <w:szCs w:val="24"/>
        </w:rPr>
        <w:t xml:space="preserve"> quarta unidade demonstrativa do projeto CESCOLA.</w:t>
      </w:r>
      <w:r w:rsidR="006C4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E4CB0" w14:textId="416E9F63" w:rsidR="00FC6D4C" w:rsidRDefault="00CE7FED" w:rsidP="00F67B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</w:t>
      </w:r>
      <w:r w:rsidR="00FC6D4C">
        <w:rPr>
          <w:rFonts w:ascii="Times New Roman" w:hAnsi="Times New Roman" w:cs="Times New Roman"/>
          <w:sz w:val="24"/>
          <w:szCs w:val="24"/>
        </w:rPr>
        <w:t xml:space="preserve">iferenças no período de execução das atividades do projeto, </w:t>
      </w:r>
      <w:r>
        <w:rPr>
          <w:rFonts w:ascii="Times New Roman" w:hAnsi="Times New Roman" w:cs="Times New Roman"/>
          <w:sz w:val="24"/>
          <w:szCs w:val="24"/>
        </w:rPr>
        <w:t xml:space="preserve">nas condições de </w:t>
      </w:r>
      <w:r w:rsidR="00FC6D4C">
        <w:rPr>
          <w:rFonts w:ascii="Times New Roman" w:hAnsi="Times New Roman" w:cs="Times New Roman"/>
          <w:sz w:val="24"/>
          <w:szCs w:val="24"/>
        </w:rPr>
        <w:t xml:space="preserve">infraestrutura e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FC6D4C">
        <w:rPr>
          <w:rFonts w:ascii="Times New Roman" w:hAnsi="Times New Roman" w:cs="Times New Roman"/>
          <w:sz w:val="24"/>
          <w:szCs w:val="24"/>
        </w:rPr>
        <w:t xml:space="preserve">tamanho das unidades atendidas, bem como </w:t>
      </w:r>
      <w:r>
        <w:rPr>
          <w:rFonts w:ascii="Times New Roman" w:hAnsi="Times New Roman" w:cs="Times New Roman"/>
          <w:sz w:val="24"/>
          <w:szCs w:val="24"/>
        </w:rPr>
        <w:t>o desconhecimento das comunidades sobre a iniciativa, podem ter influenciado na quantificação das participações, assim como na comparação das unidades.</w:t>
      </w:r>
    </w:p>
    <w:p w14:paraId="0496CAD1" w14:textId="77777777" w:rsidR="005D1D53" w:rsidRDefault="005D1D53" w:rsidP="00F67B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AFBD6" w14:textId="77777777" w:rsidR="009A5297" w:rsidRDefault="009A5297" w:rsidP="00F67BDE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769122D9" w14:textId="3B2E957F" w:rsidR="009A5297" w:rsidRDefault="009A5297" w:rsidP="009A529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CONCLUSÕES</w:t>
      </w:r>
    </w:p>
    <w:p w14:paraId="581E311E" w14:textId="77777777" w:rsidR="009A5297" w:rsidRDefault="009A5297" w:rsidP="00F67BDE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491DFB4E" w14:textId="05EEF200" w:rsidR="009A5297" w:rsidRPr="00D13CA5" w:rsidRDefault="009A5297" w:rsidP="009A5297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A identificação dos serviços ecossistêmicos fornecidos pelo Projeto </w:t>
      </w:r>
      <w:r w:rsidR="00C9627D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 xml:space="preserve"> constituiu um elemento fundamental para a compreensão da relevância socioambiental de suas ações. O reconhecimento dos benefícios gerados, como a ciclagem de nutrientes, o fornecimento de alimentos, a redução da poluição, a promoção da conscientização ambiental e o fortalecimento da conexão entre seres humanos e natureza, contribuiu para evidenciar o papel do projeto na conservação ambiental e na transformação de práticas educativas.</w:t>
      </w:r>
    </w:p>
    <w:p w14:paraId="1E3EC11F" w14:textId="3B213026" w:rsidR="009A5297" w:rsidRPr="009A5297" w:rsidRDefault="009A5297" w:rsidP="009A5297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  <w:r w:rsidRPr="00D13CA5">
        <w:rPr>
          <w:rFonts w:ascii="Times New Roman" w:hAnsi="Times New Roman"/>
          <w:sz w:val="24"/>
        </w:rPr>
        <w:t xml:space="preserve">Embora tenham sido quantificados alguns dos serviços ecossistêmicos mais diretamente mensuráveis, como a mitigação de emissões de gases de efeito estufa (GEE) e os impactos da educação ambiental, a diversidade e complexidade dos serviços prestados impuseram limites à quantificação integral. Dessa forma, destaca-se a necessidade de estudos futuros que aprofundem a avaliação dos múltiplos benefícios proporcionados. A atuação integrada do gerenciamento de resíduos com práticas educativas e produtivas sustentáveis, aliada ao engajamento da comunidade escolar e de seu entorno, reforça o potencial do Projeto </w:t>
      </w:r>
      <w:r w:rsidR="00C9627D" w:rsidRPr="00D13CA5">
        <w:rPr>
          <w:rFonts w:ascii="Times New Roman" w:hAnsi="Times New Roman" w:cs="Times New Roman"/>
          <w:sz w:val="24"/>
          <w:szCs w:val="24"/>
        </w:rPr>
        <w:t>CESCOLA</w:t>
      </w:r>
      <w:r w:rsidRPr="00D13CA5">
        <w:rPr>
          <w:rFonts w:ascii="Times New Roman" w:hAnsi="Times New Roman"/>
          <w:sz w:val="24"/>
        </w:rPr>
        <w:t xml:space="preserve"> como modelo replicável de promoção de serviços ecossistêmicos em ambientes urbanos e escolares.</w:t>
      </w:r>
    </w:p>
    <w:p w14:paraId="10B483CE" w14:textId="77777777" w:rsidR="009A5297" w:rsidRDefault="009A5297" w:rsidP="00F67BDE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2EBAFC8C" w14:textId="77777777" w:rsidR="00F67BDE" w:rsidRDefault="00F67BDE" w:rsidP="00F67BDE">
      <w:pPr>
        <w:spacing w:after="0" w:line="360" w:lineRule="auto"/>
        <w:ind w:firstLine="567"/>
        <w:jc w:val="both"/>
        <w:rPr>
          <w:rFonts w:ascii="Times New Roman" w:hAnsi="Times New Roman"/>
          <w:sz w:val="24"/>
        </w:rPr>
      </w:pPr>
    </w:p>
    <w:p w14:paraId="7333187D" w14:textId="0A3F5CB0" w:rsidR="00E6587D" w:rsidRDefault="00E65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D3875B" w14:textId="6D9547C8" w:rsidR="00E6587D" w:rsidRDefault="00E6587D" w:rsidP="00C75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14:paraId="0E6E37D2" w14:textId="77777777" w:rsidR="00E6587D" w:rsidRDefault="00E6587D" w:rsidP="00C75E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847F8" w14:textId="4F8BC8A8" w:rsidR="00E6587D" w:rsidRPr="0009541D" w:rsidRDefault="00E6587D" w:rsidP="00E658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BRASIL. Política Nacional de Resíduos Sólidos.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Lei n. 12.305, de 2 de agosto de 2010</w:t>
      </w:r>
      <w:r>
        <w:rPr>
          <w:rFonts w:ascii="Times New Roman" w:hAnsi="Times New Roman"/>
          <w:sz w:val="24"/>
          <w:szCs w:val="24"/>
          <w:lang w:eastAsia="pt-BR"/>
        </w:rPr>
        <w:t xml:space="preserve">. Presidência da República, Casa Civil, Brasília, 2010. Disponível em: &lt;http://www.planalto.gov.br/ccivil_03/_ato2007-2010/2010/lei/l12305.htm&gt;. </w:t>
      </w:r>
      <w:proofErr w:type="spellStart"/>
      <w:r w:rsidRPr="0009541D">
        <w:rPr>
          <w:rFonts w:ascii="Times New Roman" w:hAnsi="Times New Roman"/>
          <w:sz w:val="24"/>
          <w:szCs w:val="24"/>
          <w:lang w:val="en-US" w:eastAsia="pt-BR"/>
        </w:rPr>
        <w:t>Acesso</w:t>
      </w:r>
      <w:proofErr w:type="spellEnd"/>
      <w:r w:rsidRPr="0009541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09541D">
        <w:rPr>
          <w:rFonts w:ascii="Times New Roman" w:hAnsi="Times New Roman"/>
          <w:sz w:val="24"/>
          <w:szCs w:val="24"/>
          <w:lang w:val="en-US" w:eastAsia="pt-BR"/>
        </w:rPr>
        <w:t>em</w:t>
      </w:r>
      <w:proofErr w:type="spellEnd"/>
      <w:r w:rsidRPr="0009541D">
        <w:rPr>
          <w:rFonts w:ascii="Times New Roman" w:hAnsi="Times New Roman"/>
          <w:sz w:val="24"/>
          <w:szCs w:val="24"/>
          <w:lang w:val="en-US" w:eastAsia="pt-BR"/>
        </w:rPr>
        <w:t>: 14 jun. 2025.</w:t>
      </w:r>
    </w:p>
    <w:p w14:paraId="73E79D2D" w14:textId="0D1F09F1" w:rsidR="001966A5" w:rsidRPr="001966A5" w:rsidRDefault="001966A5" w:rsidP="001966A5">
      <w:pPr>
        <w:spacing w:line="240" w:lineRule="auto"/>
        <w:jc w:val="both"/>
        <w:rPr>
          <w:rFonts w:ascii="Times New Roman" w:hAnsi="Times New Roman"/>
          <w:sz w:val="24"/>
        </w:rPr>
      </w:pPr>
      <w:r w:rsidRPr="00533B79">
        <w:rPr>
          <w:rFonts w:ascii="Times New Roman" w:hAnsi="Times New Roman"/>
          <w:sz w:val="24"/>
          <w:lang w:val="en-US"/>
        </w:rPr>
        <w:t xml:space="preserve">KING, M. F.; GUTBERLET, J. Contribution of cooperative sector recycling to greenhouse gas emissions reduction: A case study of </w:t>
      </w:r>
      <w:proofErr w:type="spellStart"/>
      <w:r w:rsidRPr="00533B79">
        <w:rPr>
          <w:rFonts w:ascii="Times New Roman" w:hAnsi="Times New Roman"/>
          <w:sz w:val="24"/>
          <w:lang w:val="en-US"/>
        </w:rPr>
        <w:t>Ribeirão</w:t>
      </w:r>
      <w:proofErr w:type="spellEnd"/>
      <w:r w:rsidRPr="00533B79">
        <w:rPr>
          <w:rFonts w:ascii="Times New Roman" w:hAnsi="Times New Roman"/>
          <w:sz w:val="24"/>
          <w:lang w:val="en-US"/>
        </w:rPr>
        <w:t xml:space="preserve"> Pires, </w:t>
      </w:r>
      <w:r w:rsidRPr="00533B79">
        <w:rPr>
          <w:rFonts w:ascii="Times New Roman" w:hAnsi="Times New Roman"/>
          <w:b/>
          <w:bCs/>
          <w:sz w:val="24"/>
          <w:lang w:val="en-US"/>
        </w:rPr>
        <w:t xml:space="preserve">Brazil. </w:t>
      </w:r>
      <w:proofErr w:type="spellStart"/>
      <w:r w:rsidRPr="00402ABC">
        <w:rPr>
          <w:rFonts w:ascii="Times New Roman" w:hAnsi="Times New Roman"/>
          <w:b/>
          <w:bCs/>
          <w:sz w:val="24"/>
        </w:rPr>
        <w:t>Waste</w:t>
      </w:r>
      <w:proofErr w:type="spellEnd"/>
      <w:r w:rsidRPr="00402ABC">
        <w:rPr>
          <w:rFonts w:ascii="Times New Roman" w:hAnsi="Times New Roman"/>
          <w:b/>
          <w:bCs/>
          <w:sz w:val="24"/>
        </w:rPr>
        <w:t xml:space="preserve"> management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S.l</w:t>
      </w:r>
      <w:proofErr w:type="spellEnd"/>
      <w:r>
        <w:rPr>
          <w:rFonts w:ascii="Times New Roman" w:hAnsi="Times New Roman"/>
          <w:sz w:val="24"/>
          <w:szCs w:val="24"/>
        </w:rPr>
        <w:t xml:space="preserve">.], </w:t>
      </w:r>
      <w:r>
        <w:rPr>
          <w:rFonts w:ascii="Times New Roman" w:hAnsi="Times New Roman"/>
          <w:sz w:val="24"/>
        </w:rPr>
        <w:t>2013.</w:t>
      </w:r>
    </w:p>
    <w:p w14:paraId="3BD255FB" w14:textId="0BFC94DD" w:rsidR="00E745F0" w:rsidRPr="0009541D" w:rsidRDefault="0024084F" w:rsidP="00E745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E745F0">
        <w:rPr>
          <w:rFonts w:ascii="Times New Roman" w:hAnsi="Times New Roman"/>
          <w:sz w:val="24"/>
          <w:szCs w:val="24"/>
          <w:lang w:eastAsia="pt-BR"/>
        </w:rPr>
        <w:t xml:space="preserve">MCTIC - Ministério da Ciência, Tecnologia, Inovações e Comunicações. Fator médio - Inventários corporativos. </w:t>
      </w:r>
      <w:r w:rsidRPr="00E745F0">
        <w:rPr>
          <w:rFonts w:ascii="Times New Roman" w:hAnsi="Times New Roman"/>
          <w:b/>
          <w:bCs/>
          <w:sz w:val="24"/>
          <w:szCs w:val="24"/>
          <w:lang w:eastAsia="pt-BR"/>
        </w:rPr>
        <w:t>MCTI</w:t>
      </w:r>
      <w:r w:rsidRPr="00E745F0">
        <w:rPr>
          <w:rFonts w:ascii="Times New Roman" w:hAnsi="Times New Roman"/>
          <w:sz w:val="24"/>
          <w:szCs w:val="24"/>
          <w:lang w:eastAsia="pt-BR"/>
        </w:rPr>
        <w:t xml:space="preserve">, 2024. Disponível em: </w:t>
      </w:r>
      <w:hyperlink r:id="rId6" w:history="1">
        <w:r w:rsidRPr="00E745F0">
          <w:rPr>
            <w:rFonts w:ascii="Times New Roman" w:hAnsi="Times New Roman"/>
            <w:sz w:val="24"/>
            <w:szCs w:val="24"/>
            <w:lang w:eastAsia="pt-BR"/>
          </w:rPr>
          <w:t>https://www.gov.br/mcti/pt-br/acompanhe-o-mcti/sirene/dados-e-ferramentas/fatores-de-emissao</w:t>
        </w:r>
      </w:hyperlink>
      <w:r w:rsidRPr="00E745F0">
        <w:rPr>
          <w:rFonts w:ascii="Times New Roman" w:hAnsi="Times New Roman"/>
          <w:sz w:val="24"/>
          <w:szCs w:val="24"/>
          <w:lang w:eastAsia="pt-BR"/>
        </w:rPr>
        <w:t xml:space="preserve">. </w:t>
      </w:r>
      <w:proofErr w:type="spellStart"/>
      <w:r w:rsidRPr="0009541D">
        <w:rPr>
          <w:rFonts w:ascii="Times New Roman" w:hAnsi="Times New Roman"/>
          <w:sz w:val="24"/>
          <w:szCs w:val="24"/>
          <w:lang w:val="en-US" w:eastAsia="pt-BR"/>
        </w:rPr>
        <w:t>Acesso</w:t>
      </w:r>
      <w:proofErr w:type="spellEnd"/>
      <w:r w:rsidRPr="0009541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09541D">
        <w:rPr>
          <w:rFonts w:ascii="Times New Roman" w:hAnsi="Times New Roman"/>
          <w:sz w:val="24"/>
          <w:szCs w:val="24"/>
          <w:lang w:val="en-US" w:eastAsia="pt-BR"/>
        </w:rPr>
        <w:t>em</w:t>
      </w:r>
      <w:proofErr w:type="spellEnd"/>
      <w:r w:rsidRPr="0009541D">
        <w:rPr>
          <w:rFonts w:ascii="Times New Roman" w:hAnsi="Times New Roman"/>
          <w:sz w:val="24"/>
          <w:szCs w:val="24"/>
          <w:lang w:val="en-US" w:eastAsia="pt-BR"/>
        </w:rPr>
        <w:t xml:space="preserve">: 05 </w:t>
      </w:r>
      <w:proofErr w:type="spellStart"/>
      <w:r w:rsidRPr="0009541D">
        <w:rPr>
          <w:rFonts w:ascii="Times New Roman" w:hAnsi="Times New Roman"/>
          <w:sz w:val="24"/>
          <w:szCs w:val="24"/>
          <w:lang w:val="en-US" w:eastAsia="pt-BR"/>
        </w:rPr>
        <w:t>mai</w:t>
      </w:r>
      <w:proofErr w:type="spellEnd"/>
      <w:r w:rsidRPr="0009541D">
        <w:rPr>
          <w:rFonts w:ascii="Times New Roman" w:hAnsi="Times New Roman"/>
          <w:sz w:val="24"/>
          <w:szCs w:val="24"/>
          <w:lang w:val="en-US" w:eastAsia="pt-BR"/>
        </w:rPr>
        <w:t>. 2025.</w:t>
      </w:r>
    </w:p>
    <w:p w14:paraId="400DF214" w14:textId="4C27FF11" w:rsidR="002B6A88" w:rsidRPr="002B6A88" w:rsidRDefault="002B6A88" w:rsidP="002B6A88">
      <w:pPr>
        <w:spacing w:line="240" w:lineRule="auto"/>
        <w:jc w:val="both"/>
        <w:rPr>
          <w:rFonts w:ascii="Times New Roman" w:hAnsi="Times New Roman"/>
          <w:sz w:val="24"/>
        </w:rPr>
      </w:pPr>
      <w:r w:rsidRPr="00533B79">
        <w:rPr>
          <w:rFonts w:ascii="Times New Roman" w:hAnsi="Times New Roman"/>
          <w:sz w:val="24"/>
          <w:lang w:val="en-US"/>
        </w:rPr>
        <w:t xml:space="preserve">MILLENNIUM ECOSYSTEM ASSESSMENT – MEA. </w:t>
      </w:r>
      <w:r w:rsidRPr="00533B79">
        <w:rPr>
          <w:rFonts w:ascii="Times New Roman" w:hAnsi="Times New Roman"/>
          <w:b/>
          <w:bCs/>
          <w:sz w:val="24"/>
          <w:lang w:val="en-US"/>
        </w:rPr>
        <w:t>Ecosystems and human well-being</w:t>
      </w:r>
      <w:r w:rsidRPr="00533B79">
        <w:rPr>
          <w:rFonts w:ascii="Times New Roman" w:hAnsi="Times New Roman"/>
          <w:sz w:val="24"/>
          <w:lang w:val="en-US"/>
        </w:rPr>
        <w:t xml:space="preserve">: synthesis, Washington: Island Press, 2005. </w:t>
      </w:r>
      <w:r>
        <w:rPr>
          <w:rFonts w:ascii="Times New Roman" w:hAnsi="Times New Roman"/>
          <w:sz w:val="24"/>
        </w:rPr>
        <w:t>154 p.</w:t>
      </w:r>
    </w:p>
    <w:p w14:paraId="38B7DC40" w14:textId="1D9A35C8" w:rsidR="003117BB" w:rsidRDefault="006B68AB" w:rsidP="00E6587D">
      <w:pPr>
        <w:pStyle w:val="Bibliografia"/>
        <w:spacing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MELO, T. N. G.; HORA, K. E. R. </w:t>
      </w:r>
      <w:r w:rsidR="00BD38C0">
        <w:rPr>
          <w:rFonts w:ascii="Times New Roman" w:hAnsi="Times New Roman"/>
          <w:sz w:val="24"/>
          <w:szCs w:val="23"/>
        </w:rPr>
        <w:t xml:space="preserve">Agricultura </w:t>
      </w:r>
      <w:r w:rsidR="00614566" w:rsidRPr="00614566">
        <w:rPr>
          <w:rFonts w:ascii="Times New Roman" w:hAnsi="Times New Roman"/>
          <w:sz w:val="24"/>
          <w:szCs w:val="23"/>
        </w:rPr>
        <w:t>urbana:</w:t>
      </w:r>
      <w:r w:rsidR="00BD38C0">
        <w:rPr>
          <w:rFonts w:ascii="Times New Roman" w:hAnsi="Times New Roman"/>
          <w:sz w:val="24"/>
          <w:szCs w:val="23"/>
        </w:rPr>
        <w:t xml:space="preserve"> </w:t>
      </w:r>
      <w:r w:rsidR="00614566" w:rsidRPr="00614566">
        <w:rPr>
          <w:rFonts w:ascii="Times New Roman" w:hAnsi="Times New Roman"/>
          <w:sz w:val="24"/>
          <w:szCs w:val="23"/>
        </w:rPr>
        <w:t>produção de alimentos e prática pedagógica em ambientes escolares</w:t>
      </w:r>
      <w:r w:rsidR="00BD38C0">
        <w:rPr>
          <w:rFonts w:ascii="Times New Roman" w:hAnsi="Times New Roman"/>
          <w:sz w:val="24"/>
          <w:szCs w:val="23"/>
        </w:rPr>
        <w:t xml:space="preserve">. </w:t>
      </w:r>
      <w:r w:rsidR="002E7C51" w:rsidRPr="00BB1805">
        <w:rPr>
          <w:rFonts w:ascii="Times New Roman" w:hAnsi="Times New Roman"/>
          <w:b/>
          <w:bCs/>
          <w:sz w:val="24"/>
          <w:szCs w:val="23"/>
        </w:rPr>
        <w:t>Revista Eletrônica do Mestrado em Educação Ambiental</w:t>
      </w:r>
      <w:r w:rsidR="00BB1805" w:rsidRPr="00BB1805">
        <w:rPr>
          <w:rFonts w:ascii="Times New Roman" w:hAnsi="Times New Roman"/>
          <w:b/>
          <w:bCs/>
          <w:sz w:val="24"/>
          <w:szCs w:val="23"/>
        </w:rPr>
        <w:t xml:space="preserve"> </w:t>
      </w:r>
      <w:r w:rsidR="002E7C51" w:rsidRPr="00BB1805">
        <w:rPr>
          <w:rFonts w:ascii="Times New Roman" w:hAnsi="Times New Roman"/>
          <w:b/>
          <w:bCs/>
          <w:sz w:val="24"/>
          <w:szCs w:val="23"/>
        </w:rPr>
        <w:t>Programa de Pós-Graduação em Educação Ambiental</w:t>
      </w:r>
      <w:r w:rsidR="00BB1805" w:rsidRPr="00BB1805">
        <w:rPr>
          <w:rFonts w:ascii="Times New Roman" w:hAnsi="Times New Roman"/>
          <w:b/>
          <w:bCs/>
          <w:sz w:val="24"/>
          <w:szCs w:val="23"/>
        </w:rPr>
        <w:t xml:space="preserve"> –</w:t>
      </w:r>
      <w:r w:rsidR="002E7C51" w:rsidRPr="00BB1805">
        <w:rPr>
          <w:rFonts w:ascii="Times New Roman" w:hAnsi="Times New Roman"/>
          <w:b/>
          <w:bCs/>
          <w:sz w:val="24"/>
          <w:szCs w:val="23"/>
        </w:rPr>
        <w:t xml:space="preserve"> FURG</w:t>
      </w:r>
      <w:r w:rsidR="00BB1805">
        <w:rPr>
          <w:rFonts w:ascii="Times New Roman" w:hAnsi="Times New Roman"/>
          <w:sz w:val="24"/>
          <w:szCs w:val="23"/>
        </w:rPr>
        <w:t>, [</w:t>
      </w:r>
      <w:proofErr w:type="spellStart"/>
      <w:r w:rsidR="00BB1805">
        <w:rPr>
          <w:rFonts w:ascii="Times New Roman" w:hAnsi="Times New Roman"/>
          <w:sz w:val="24"/>
          <w:szCs w:val="23"/>
        </w:rPr>
        <w:t>S.l</w:t>
      </w:r>
      <w:proofErr w:type="spellEnd"/>
      <w:r w:rsidR="00BB1805">
        <w:rPr>
          <w:rFonts w:ascii="Times New Roman" w:hAnsi="Times New Roman"/>
          <w:sz w:val="24"/>
          <w:szCs w:val="23"/>
        </w:rPr>
        <w:t xml:space="preserve">.], </w:t>
      </w:r>
      <w:r w:rsidR="002E7C51" w:rsidRPr="002E7C51">
        <w:rPr>
          <w:rFonts w:ascii="Times New Roman" w:hAnsi="Times New Roman"/>
          <w:sz w:val="24"/>
          <w:szCs w:val="23"/>
        </w:rPr>
        <w:t>v. 40, n. 2, p. 271-291, 2023.</w:t>
      </w:r>
    </w:p>
    <w:p w14:paraId="70559A14" w14:textId="68942A35" w:rsidR="002B5879" w:rsidRPr="002B5879" w:rsidRDefault="002B5879" w:rsidP="002B5879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MOURA, J. A.; FERREIRA, W. R.; LARA, L. B. L. S. Agricultura urbana e periurbana. </w:t>
      </w:r>
      <w:r>
        <w:rPr>
          <w:rFonts w:ascii="Times New Roman" w:hAnsi="Times New Roman"/>
          <w:b/>
          <w:bCs/>
          <w:sz w:val="24"/>
        </w:rPr>
        <w:t xml:space="preserve">Mercator – Revista de Geografia da UFC, </w:t>
      </w:r>
      <w:r>
        <w:rPr>
          <w:rFonts w:ascii="Times New Roman" w:hAnsi="Times New Roman"/>
          <w:sz w:val="24"/>
        </w:rPr>
        <w:t>Fortaleza, v. 12, n. 27, p. 69-80, 2013.</w:t>
      </w:r>
    </w:p>
    <w:p w14:paraId="1F8CEAC7" w14:textId="2AA01677" w:rsidR="00545C5B" w:rsidRPr="00D46F71" w:rsidRDefault="00545C5B" w:rsidP="00517B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545C5B">
        <w:rPr>
          <w:rFonts w:ascii="Times New Roman" w:hAnsi="Times New Roman"/>
          <w:caps/>
          <w:sz w:val="24"/>
          <w:lang w:val="en-US"/>
        </w:rPr>
        <w:t xml:space="preserve">United States Environmental Protection Agency – epa. </w:t>
      </w:r>
      <w:proofErr w:type="spellStart"/>
      <w:r w:rsidRPr="0070639B">
        <w:rPr>
          <w:rFonts w:ascii="Times New Roman" w:hAnsi="Times New Roman"/>
          <w:sz w:val="24"/>
        </w:rPr>
        <w:t>Greenhouse</w:t>
      </w:r>
      <w:proofErr w:type="spellEnd"/>
      <w:r w:rsidRPr="0070639B">
        <w:rPr>
          <w:rFonts w:ascii="Times New Roman" w:hAnsi="Times New Roman"/>
          <w:sz w:val="24"/>
        </w:rPr>
        <w:t xml:space="preserve"> </w:t>
      </w:r>
      <w:proofErr w:type="spellStart"/>
      <w:r w:rsidRPr="0070639B">
        <w:rPr>
          <w:rFonts w:ascii="Times New Roman" w:hAnsi="Times New Roman"/>
          <w:sz w:val="24"/>
        </w:rPr>
        <w:t>gas</w:t>
      </w:r>
      <w:proofErr w:type="spellEnd"/>
      <w:r w:rsidRPr="0070639B">
        <w:rPr>
          <w:rFonts w:ascii="Times New Roman" w:hAnsi="Times New Roman"/>
          <w:sz w:val="24"/>
        </w:rPr>
        <w:t xml:space="preserve"> </w:t>
      </w:r>
      <w:proofErr w:type="spellStart"/>
      <w:r w:rsidRPr="0070639B">
        <w:rPr>
          <w:rFonts w:ascii="Times New Roman" w:hAnsi="Times New Roman"/>
          <w:sz w:val="24"/>
        </w:rPr>
        <w:t>equivalencies</w:t>
      </w:r>
      <w:proofErr w:type="spellEnd"/>
      <w:r w:rsidRPr="0070639B">
        <w:rPr>
          <w:rFonts w:ascii="Times New Roman" w:hAnsi="Times New Roman"/>
          <w:sz w:val="24"/>
        </w:rPr>
        <w:t xml:space="preserve"> </w:t>
      </w:r>
      <w:proofErr w:type="spellStart"/>
      <w:r w:rsidRPr="0070639B">
        <w:rPr>
          <w:rFonts w:ascii="Times New Roman" w:hAnsi="Times New Roman"/>
          <w:sz w:val="24"/>
        </w:rPr>
        <w:t>calculator</w:t>
      </w:r>
      <w:proofErr w:type="spellEnd"/>
      <w:r w:rsidRPr="0070639B">
        <w:rPr>
          <w:rFonts w:ascii="Times New Roman" w:hAnsi="Times New Roman"/>
          <w:sz w:val="24"/>
        </w:rPr>
        <w:t xml:space="preserve">. </w:t>
      </w:r>
      <w:r w:rsidRPr="009A60FD">
        <w:rPr>
          <w:rFonts w:ascii="Times New Roman" w:hAnsi="Times New Roman"/>
          <w:b/>
          <w:bCs/>
          <w:caps/>
          <w:sz w:val="24"/>
        </w:rPr>
        <w:t>EPA</w:t>
      </w:r>
      <w:r w:rsidRPr="0070639B">
        <w:rPr>
          <w:rFonts w:ascii="Times New Roman" w:hAnsi="Times New Roman"/>
          <w:caps/>
          <w:sz w:val="24"/>
        </w:rPr>
        <w:t>, 2024. D</w:t>
      </w:r>
      <w:r w:rsidRPr="0070639B">
        <w:rPr>
          <w:rFonts w:ascii="Times New Roman" w:hAnsi="Times New Roman"/>
          <w:sz w:val="24"/>
        </w:rPr>
        <w:t>isponí</w:t>
      </w:r>
      <w:r>
        <w:rPr>
          <w:rFonts w:ascii="Times New Roman" w:hAnsi="Times New Roman"/>
          <w:sz w:val="24"/>
        </w:rPr>
        <w:t>vel em: &lt;</w:t>
      </w:r>
      <w:r w:rsidRPr="009A60FD">
        <w:rPr>
          <w:rFonts w:ascii="Times New Roman" w:hAnsi="Times New Roman"/>
          <w:sz w:val="24"/>
        </w:rPr>
        <w:t>https://www.epa.gov/energy/greenhouse-gas-equivalencies-calculator</w:t>
      </w:r>
      <w:r>
        <w:rPr>
          <w:rFonts w:ascii="Times New Roman" w:hAnsi="Times New Roman"/>
          <w:sz w:val="24"/>
        </w:rPr>
        <w:t xml:space="preserve">&gt;. </w:t>
      </w:r>
      <w:proofErr w:type="spellStart"/>
      <w:r w:rsidRPr="00D46F71">
        <w:rPr>
          <w:rFonts w:ascii="Times New Roman" w:hAnsi="Times New Roman"/>
          <w:sz w:val="24"/>
          <w:lang w:val="en-US"/>
        </w:rPr>
        <w:t>Acesso</w:t>
      </w:r>
      <w:proofErr w:type="spellEnd"/>
      <w:r w:rsidRPr="00D46F7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46F71">
        <w:rPr>
          <w:rFonts w:ascii="Times New Roman" w:hAnsi="Times New Roman"/>
          <w:sz w:val="24"/>
          <w:lang w:val="en-US"/>
        </w:rPr>
        <w:t>em</w:t>
      </w:r>
      <w:proofErr w:type="spellEnd"/>
      <w:r w:rsidRPr="00D46F71">
        <w:rPr>
          <w:rFonts w:ascii="Times New Roman" w:hAnsi="Times New Roman"/>
          <w:sz w:val="24"/>
          <w:lang w:val="en-US"/>
        </w:rPr>
        <w:t>: 24 jun. 2025.</w:t>
      </w:r>
    </w:p>
    <w:p w14:paraId="699220F6" w14:textId="37E677C1" w:rsidR="00517BF1" w:rsidRPr="00517BF1" w:rsidRDefault="00517BF1" w:rsidP="00517B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84F45">
        <w:rPr>
          <w:rFonts w:ascii="Times New Roman" w:hAnsi="Times New Roman"/>
          <w:sz w:val="24"/>
          <w:szCs w:val="24"/>
          <w:lang w:val="en-US" w:eastAsia="pt-BR"/>
        </w:rPr>
        <w:t>UNITED NATIONS FRAMEWORK CONVENTION O</w:t>
      </w:r>
      <w:r>
        <w:rPr>
          <w:rFonts w:ascii="Times New Roman" w:hAnsi="Times New Roman"/>
          <w:sz w:val="24"/>
          <w:szCs w:val="24"/>
          <w:lang w:val="en-US" w:eastAsia="pt-BR"/>
        </w:rPr>
        <w:t xml:space="preserve">N CLIMATE CHANGE – UNFCCC. </w:t>
      </w:r>
      <w:r w:rsidRPr="00C32D95">
        <w:rPr>
          <w:rFonts w:ascii="Times New Roman" w:hAnsi="Times New Roman"/>
          <w:b/>
          <w:bCs/>
          <w:sz w:val="24"/>
          <w:szCs w:val="24"/>
          <w:lang w:val="en-US" w:eastAsia="pt-BR"/>
        </w:rPr>
        <w:t>Avoidance of methane emissions through controlled biological treatment of biomass</w:t>
      </w:r>
      <w:r>
        <w:rPr>
          <w:rFonts w:ascii="Times New Roman" w:hAnsi="Times New Roman"/>
          <w:b/>
          <w:bCs/>
          <w:sz w:val="24"/>
          <w:szCs w:val="24"/>
          <w:lang w:val="en-US" w:eastAsia="pt-BR"/>
        </w:rPr>
        <w:t xml:space="preserve">, </w:t>
      </w:r>
      <w:r w:rsidRPr="00C32D95">
        <w:rPr>
          <w:rFonts w:ascii="Times New Roman" w:hAnsi="Times New Roman"/>
          <w:sz w:val="24"/>
          <w:szCs w:val="24"/>
          <w:lang w:val="en-US" w:eastAsia="pt-BR"/>
        </w:rPr>
        <w:t>version 6</w:t>
      </w:r>
      <w:r>
        <w:rPr>
          <w:rFonts w:ascii="Times New Roman" w:hAnsi="Times New Roman"/>
          <w:sz w:val="24"/>
          <w:szCs w:val="24"/>
          <w:lang w:val="en-US" w:eastAsia="pt-BR"/>
        </w:rPr>
        <w:t>, [S.D.]</w:t>
      </w:r>
      <w:r w:rsidRPr="00C32D95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r w:rsidRPr="00BA008F">
        <w:rPr>
          <w:rFonts w:ascii="Times New Roman" w:hAnsi="Times New Roman"/>
          <w:sz w:val="24"/>
          <w:szCs w:val="24"/>
          <w:lang w:eastAsia="pt-BR"/>
        </w:rPr>
        <w:t>Disponível em: &lt;</w:t>
      </w:r>
      <w:r w:rsidRPr="00BA008F">
        <w:t xml:space="preserve"> </w:t>
      </w:r>
      <w:r w:rsidRPr="00BA008F">
        <w:rPr>
          <w:rFonts w:ascii="Times New Roman" w:hAnsi="Times New Roman"/>
          <w:sz w:val="24"/>
          <w:szCs w:val="24"/>
          <w:lang w:eastAsia="pt-BR"/>
        </w:rPr>
        <w:t>https://cdm.unfccc.int/methodologies/DB/83G6NA8NDD90GYOS9SO154JL8M2YVO/view.html &gt;</w:t>
      </w:r>
      <w:r>
        <w:rPr>
          <w:rFonts w:ascii="Times New Roman" w:hAnsi="Times New Roman"/>
          <w:sz w:val="24"/>
          <w:szCs w:val="24"/>
          <w:lang w:eastAsia="pt-BR"/>
        </w:rPr>
        <w:t>. Acesso em: 15 jun. 2025.</w:t>
      </w:r>
    </w:p>
    <w:p w14:paraId="011D96A6" w14:textId="1C962615" w:rsidR="00963DC8" w:rsidRPr="00963DC8" w:rsidRDefault="00963DC8" w:rsidP="00963DC8">
      <w:pPr>
        <w:pStyle w:val="Bibliografia"/>
        <w:spacing w:line="240" w:lineRule="auto"/>
        <w:jc w:val="both"/>
        <w:rPr>
          <w:rFonts w:ascii="Times New Roman" w:hAnsi="Times New Roman"/>
          <w:sz w:val="24"/>
        </w:rPr>
      </w:pPr>
      <w:r w:rsidRPr="009F1D46">
        <w:rPr>
          <w:rFonts w:ascii="Times New Roman" w:hAnsi="Times New Roman"/>
          <w:sz w:val="24"/>
        </w:rPr>
        <w:t>VILELA,</w:t>
      </w:r>
      <w:r>
        <w:rPr>
          <w:rFonts w:ascii="Times New Roman" w:hAnsi="Times New Roman"/>
          <w:sz w:val="24"/>
        </w:rPr>
        <w:t xml:space="preserve"> N. J.; LUENGO, R. F. A. In: LUENGO, R. F. A.; CALBP, A. G (editores técnicos). </w:t>
      </w:r>
      <w:r w:rsidRPr="009F1D46">
        <w:rPr>
          <w:rFonts w:ascii="Times New Roman" w:hAnsi="Times New Roman"/>
          <w:b/>
          <w:bCs/>
          <w:sz w:val="24"/>
        </w:rPr>
        <w:t>Pós-colheita de hortaliças</w:t>
      </w:r>
      <w:r>
        <w:rPr>
          <w:rFonts w:ascii="Times New Roman" w:hAnsi="Times New Roman"/>
          <w:sz w:val="24"/>
        </w:rPr>
        <w:t>: o produtor pergunta, a EMBRAPA responde. Brasília: Embrapa Informação Tecnológica, 2011. cap. 1.</w:t>
      </w:r>
    </w:p>
    <w:p w14:paraId="255C3BF9" w14:textId="56E35BF1" w:rsidR="00D13CA5" w:rsidRDefault="00561607" w:rsidP="00E6587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607">
        <w:rPr>
          <w:rFonts w:ascii="Times New Roman" w:hAnsi="Times New Roman" w:cs="Times New Roman"/>
          <w:sz w:val="24"/>
          <w:szCs w:val="24"/>
        </w:rPr>
        <w:t>WALGENBACH,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60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 S.</w:t>
      </w:r>
      <w:r w:rsidRPr="00561607">
        <w:rPr>
          <w:rFonts w:ascii="Times New Roman" w:hAnsi="Times New Roman" w:cs="Times New Roman"/>
          <w:sz w:val="24"/>
          <w:szCs w:val="24"/>
        </w:rPr>
        <w:t>; GRACIANO,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607">
        <w:rPr>
          <w:rFonts w:ascii="Times New Roman" w:hAnsi="Times New Roman" w:cs="Times New Roman"/>
          <w:sz w:val="24"/>
          <w:szCs w:val="24"/>
        </w:rPr>
        <w:t xml:space="preserve"> J. S.; DIAS,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607">
        <w:rPr>
          <w:rFonts w:ascii="Times New Roman" w:hAnsi="Times New Roman" w:cs="Times New Roman"/>
          <w:sz w:val="24"/>
          <w:szCs w:val="24"/>
        </w:rPr>
        <w:t xml:space="preserve"> D. Compostagem de resíduos orgânicos e educação ambiental: uma análise do ciclo de vida em uma escola de educação básica. </w:t>
      </w:r>
      <w:proofErr w:type="spellStart"/>
      <w:r w:rsidRPr="00561607">
        <w:rPr>
          <w:rFonts w:ascii="Times New Roman" w:hAnsi="Times New Roman" w:cs="Times New Roman"/>
          <w:b/>
          <w:bCs/>
          <w:sz w:val="24"/>
          <w:szCs w:val="24"/>
          <w:lang w:val="en-US"/>
        </w:rPr>
        <w:t>Fronteira</w:t>
      </w:r>
      <w:proofErr w:type="spellEnd"/>
      <w:r w:rsidRPr="00561607">
        <w:rPr>
          <w:rFonts w:ascii="Times New Roman" w:hAnsi="Times New Roman" w:cs="Times New Roman"/>
          <w:b/>
          <w:bCs/>
          <w:sz w:val="24"/>
          <w:szCs w:val="24"/>
          <w:lang w:val="en-US"/>
        </w:rPr>
        <w:t>: Journal of Social, Technological and Environmental Science</w:t>
      </w:r>
      <w:r w:rsidRPr="00561607">
        <w:rPr>
          <w:rFonts w:ascii="Times New Roman" w:hAnsi="Times New Roman" w:cs="Times New Roman"/>
          <w:sz w:val="24"/>
          <w:szCs w:val="24"/>
          <w:lang w:val="en-US"/>
        </w:rPr>
        <w:t>, [</w:t>
      </w:r>
      <w:proofErr w:type="spellStart"/>
      <w:r w:rsidRPr="00561607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.l.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 w:rsidRPr="00561607">
        <w:rPr>
          <w:rFonts w:ascii="Times New Roman" w:hAnsi="Times New Roman" w:cs="Times New Roman"/>
          <w:sz w:val="24"/>
          <w:szCs w:val="24"/>
          <w:lang w:val="en-US"/>
        </w:rPr>
        <w:t>v. 14, n. 1, p. 170–185, 2025.</w:t>
      </w:r>
    </w:p>
    <w:p w14:paraId="6B4B0470" w14:textId="2CDD050F" w:rsidR="00D13CA5" w:rsidRDefault="00D13CA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13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66"/>
    <w:rsid w:val="00003AB3"/>
    <w:rsid w:val="0000639C"/>
    <w:rsid w:val="00006BDF"/>
    <w:rsid w:val="00012D75"/>
    <w:rsid w:val="000179E9"/>
    <w:rsid w:val="00044DFC"/>
    <w:rsid w:val="000727DF"/>
    <w:rsid w:val="0007429B"/>
    <w:rsid w:val="0009541D"/>
    <w:rsid w:val="000B5466"/>
    <w:rsid w:val="000B71DE"/>
    <w:rsid w:val="000C6E81"/>
    <w:rsid w:val="000D5482"/>
    <w:rsid w:val="000D639C"/>
    <w:rsid w:val="000E08CE"/>
    <w:rsid w:val="000E3601"/>
    <w:rsid w:val="0013079C"/>
    <w:rsid w:val="001437D6"/>
    <w:rsid w:val="00144C32"/>
    <w:rsid w:val="00154F06"/>
    <w:rsid w:val="00156444"/>
    <w:rsid w:val="00170D7C"/>
    <w:rsid w:val="00190067"/>
    <w:rsid w:val="001966A5"/>
    <w:rsid w:val="001C715F"/>
    <w:rsid w:val="00211D22"/>
    <w:rsid w:val="0021283F"/>
    <w:rsid w:val="00240022"/>
    <w:rsid w:val="0024084F"/>
    <w:rsid w:val="00240C94"/>
    <w:rsid w:val="00244907"/>
    <w:rsid w:val="0026766E"/>
    <w:rsid w:val="002766BF"/>
    <w:rsid w:val="0029391E"/>
    <w:rsid w:val="00294034"/>
    <w:rsid w:val="00294324"/>
    <w:rsid w:val="002B5879"/>
    <w:rsid w:val="002B6A88"/>
    <w:rsid w:val="002C03F6"/>
    <w:rsid w:val="002C07E0"/>
    <w:rsid w:val="002D2E7D"/>
    <w:rsid w:val="002D391B"/>
    <w:rsid w:val="002D449E"/>
    <w:rsid w:val="002E7C51"/>
    <w:rsid w:val="002F4ADF"/>
    <w:rsid w:val="003117BB"/>
    <w:rsid w:val="0031436E"/>
    <w:rsid w:val="0034797D"/>
    <w:rsid w:val="00364060"/>
    <w:rsid w:val="0037281E"/>
    <w:rsid w:val="00372BA2"/>
    <w:rsid w:val="0038489F"/>
    <w:rsid w:val="00385F36"/>
    <w:rsid w:val="003B49FC"/>
    <w:rsid w:val="003C7F3E"/>
    <w:rsid w:val="003E2551"/>
    <w:rsid w:val="003E5544"/>
    <w:rsid w:val="003F5CD5"/>
    <w:rsid w:val="00407398"/>
    <w:rsid w:val="00461C45"/>
    <w:rsid w:val="0047460D"/>
    <w:rsid w:val="00474910"/>
    <w:rsid w:val="00476500"/>
    <w:rsid w:val="00486FD2"/>
    <w:rsid w:val="004B7309"/>
    <w:rsid w:val="004C5972"/>
    <w:rsid w:val="004F22DE"/>
    <w:rsid w:val="00514AB8"/>
    <w:rsid w:val="00517BF1"/>
    <w:rsid w:val="0053427B"/>
    <w:rsid w:val="005458C1"/>
    <w:rsid w:val="00545C5B"/>
    <w:rsid w:val="005473E2"/>
    <w:rsid w:val="00556559"/>
    <w:rsid w:val="00556FDC"/>
    <w:rsid w:val="00561607"/>
    <w:rsid w:val="00583DCC"/>
    <w:rsid w:val="005952E8"/>
    <w:rsid w:val="005D1D53"/>
    <w:rsid w:val="005E36FB"/>
    <w:rsid w:val="005F1942"/>
    <w:rsid w:val="00614566"/>
    <w:rsid w:val="006358B3"/>
    <w:rsid w:val="00671C95"/>
    <w:rsid w:val="00675FAC"/>
    <w:rsid w:val="006851A9"/>
    <w:rsid w:val="00692EA1"/>
    <w:rsid w:val="006B2B55"/>
    <w:rsid w:val="006B68AB"/>
    <w:rsid w:val="006C39AA"/>
    <w:rsid w:val="006C4BF7"/>
    <w:rsid w:val="006D0AC5"/>
    <w:rsid w:val="00735E1C"/>
    <w:rsid w:val="00745D5D"/>
    <w:rsid w:val="00754471"/>
    <w:rsid w:val="007670D8"/>
    <w:rsid w:val="00767121"/>
    <w:rsid w:val="007A1E29"/>
    <w:rsid w:val="007C2582"/>
    <w:rsid w:val="007E4910"/>
    <w:rsid w:val="00803E78"/>
    <w:rsid w:val="00811D05"/>
    <w:rsid w:val="00812569"/>
    <w:rsid w:val="008270D6"/>
    <w:rsid w:val="008A5B55"/>
    <w:rsid w:val="008B7E59"/>
    <w:rsid w:val="008C1C19"/>
    <w:rsid w:val="008D201E"/>
    <w:rsid w:val="008E5713"/>
    <w:rsid w:val="00906C8B"/>
    <w:rsid w:val="009129A2"/>
    <w:rsid w:val="00913448"/>
    <w:rsid w:val="00914578"/>
    <w:rsid w:val="00915A91"/>
    <w:rsid w:val="00921B4C"/>
    <w:rsid w:val="009422DE"/>
    <w:rsid w:val="009467CC"/>
    <w:rsid w:val="00963DC8"/>
    <w:rsid w:val="00986ED3"/>
    <w:rsid w:val="009A5297"/>
    <w:rsid w:val="009A6A79"/>
    <w:rsid w:val="009B6C9C"/>
    <w:rsid w:val="009C2569"/>
    <w:rsid w:val="009E3973"/>
    <w:rsid w:val="009E3D80"/>
    <w:rsid w:val="00A001CF"/>
    <w:rsid w:val="00A0036D"/>
    <w:rsid w:val="00A16E54"/>
    <w:rsid w:val="00A17B25"/>
    <w:rsid w:val="00A3408C"/>
    <w:rsid w:val="00A42874"/>
    <w:rsid w:val="00A47F97"/>
    <w:rsid w:val="00A7346F"/>
    <w:rsid w:val="00A807A3"/>
    <w:rsid w:val="00AA2E47"/>
    <w:rsid w:val="00AA7551"/>
    <w:rsid w:val="00AB0930"/>
    <w:rsid w:val="00AC44FD"/>
    <w:rsid w:val="00B22A74"/>
    <w:rsid w:val="00B248D7"/>
    <w:rsid w:val="00B2648D"/>
    <w:rsid w:val="00B41654"/>
    <w:rsid w:val="00B8795C"/>
    <w:rsid w:val="00BA67FE"/>
    <w:rsid w:val="00BB1805"/>
    <w:rsid w:val="00BC6326"/>
    <w:rsid w:val="00BD38C0"/>
    <w:rsid w:val="00BD4841"/>
    <w:rsid w:val="00BD5360"/>
    <w:rsid w:val="00BE7D0E"/>
    <w:rsid w:val="00BF2CE8"/>
    <w:rsid w:val="00BF2D67"/>
    <w:rsid w:val="00C059DA"/>
    <w:rsid w:val="00C314C2"/>
    <w:rsid w:val="00C4014A"/>
    <w:rsid w:val="00C40F74"/>
    <w:rsid w:val="00C45C70"/>
    <w:rsid w:val="00C75EA3"/>
    <w:rsid w:val="00C83320"/>
    <w:rsid w:val="00C851DE"/>
    <w:rsid w:val="00C9627D"/>
    <w:rsid w:val="00CA00C2"/>
    <w:rsid w:val="00CB2E8D"/>
    <w:rsid w:val="00CB2F64"/>
    <w:rsid w:val="00CC2EF5"/>
    <w:rsid w:val="00CE32D6"/>
    <w:rsid w:val="00CE7FED"/>
    <w:rsid w:val="00CF629D"/>
    <w:rsid w:val="00CF7051"/>
    <w:rsid w:val="00D13CA5"/>
    <w:rsid w:val="00D15B93"/>
    <w:rsid w:val="00D27AA4"/>
    <w:rsid w:val="00D41F0A"/>
    <w:rsid w:val="00D46F71"/>
    <w:rsid w:val="00D55D29"/>
    <w:rsid w:val="00D6283B"/>
    <w:rsid w:val="00D773D0"/>
    <w:rsid w:val="00DB35E1"/>
    <w:rsid w:val="00DD24CC"/>
    <w:rsid w:val="00DD5529"/>
    <w:rsid w:val="00DE38CF"/>
    <w:rsid w:val="00DF1449"/>
    <w:rsid w:val="00E00167"/>
    <w:rsid w:val="00E00AD6"/>
    <w:rsid w:val="00E05C06"/>
    <w:rsid w:val="00E140FE"/>
    <w:rsid w:val="00E264AD"/>
    <w:rsid w:val="00E6587D"/>
    <w:rsid w:val="00E745F0"/>
    <w:rsid w:val="00EC0E12"/>
    <w:rsid w:val="00EC64CA"/>
    <w:rsid w:val="00ED3787"/>
    <w:rsid w:val="00ED6A75"/>
    <w:rsid w:val="00EE4937"/>
    <w:rsid w:val="00EE4B52"/>
    <w:rsid w:val="00EF4C3A"/>
    <w:rsid w:val="00EF5A07"/>
    <w:rsid w:val="00EF6F65"/>
    <w:rsid w:val="00F13BBC"/>
    <w:rsid w:val="00F3168B"/>
    <w:rsid w:val="00F54A12"/>
    <w:rsid w:val="00F64150"/>
    <w:rsid w:val="00F67BDE"/>
    <w:rsid w:val="00F730A8"/>
    <w:rsid w:val="00F806F3"/>
    <w:rsid w:val="00F953E3"/>
    <w:rsid w:val="00F967A9"/>
    <w:rsid w:val="00FB2FC2"/>
    <w:rsid w:val="00FC6D4C"/>
    <w:rsid w:val="00FD32F3"/>
    <w:rsid w:val="00FE4F0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EA44A"/>
  <w15:chartTrackingRefBased/>
  <w15:docId w15:val="{D05B4523-91A4-4A80-AB1D-E220247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B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B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4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4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4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4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4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4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4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466"/>
    <w:rPr>
      <w:b/>
      <w:bCs/>
      <w:smallCaps/>
      <w:color w:val="0F4761" w:themeColor="accent1" w:themeShade="BF"/>
      <w:spacing w:val="5"/>
    </w:rPr>
  </w:style>
  <w:style w:type="paragraph" w:styleId="Bibliografia">
    <w:name w:val="Bibliography"/>
    <w:basedOn w:val="Normal"/>
    <w:next w:val="Normal"/>
    <w:uiPriority w:val="37"/>
    <w:unhideWhenUsed/>
    <w:rsid w:val="00E6587D"/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7670D8"/>
    <w:pPr>
      <w:spacing w:after="200" w:line="240" w:lineRule="auto"/>
    </w:pPr>
    <w:rPr>
      <w:rFonts w:ascii="Calibri" w:eastAsia="Calibri" w:hAnsi="Calibri" w:cs="Times New Roman"/>
      <w:i/>
      <w:iCs/>
      <w:color w:val="44546A"/>
      <w:kern w:val="0"/>
      <w:sz w:val="18"/>
      <w:szCs w:val="18"/>
      <w14:ligatures w14:val="none"/>
    </w:rPr>
  </w:style>
  <w:style w:type="character" w:customStyle="1" w:styleId="LegendaChar">
    <w:name w:val="Legenda Char"/>
    <w:link w:val="Legenda"/>
    <w:uiPriority w:val="35"/>
    <w:rsid w:val="007670D8"/>
    <w:rPr>
      <w:rFonts w:ascii="Calibri" w:eastAsia="Calibri" w:hAnsi="Calibri" w:cs="Times New Roman"/>
      <w:i/>
      <w:iCs/>
      <w:color w:val="44546A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39"/>
    <w:rsid w:val="00DB35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B35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mcti/pt-br/acompanhe-o-mcti/sirene/dados-e-ferramentas/fatores-de-emissao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2097c9ad42aa64c/&#193;rea%20de%20Trabalho/Mestrado/Disserta&#231;&#227;o/Disserta&#231;&#227;o%20(em%20constru&#231;&#227;o)/Quantifica&#231;&#227;o%20e%20valora&#231;&#227;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Planilha2!$N$10</c:f>
              <c:strCache>
                <c:ptCount val="1"/>
                <c:pt idx="0">
                  <c:v>Students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Planilha2!$M$11:$M$14</c:f>
              <c:strCache>
                <c:ptCount val="4"/>
                <c:pt idx="0">
                  <c:v>Paraty</c:v>
                </c:pt>
                <c:pt idx="1">
                  <c:v>Porto Real</c:v>
                </c:pt>
                <c:pt idx="2">
                  <c:v>Volta Redonda</c:v>
                </c:pt>
                <c:pt idx="3">
                  <c:v>Total</c:v>
                </c:pt>
              </c:strCache>
            </c:strRef>
          </c:cat>
          <c:val>
            <c:numRef>
              <c:f>Planilha2!$N$11:$N$14</c:f>
              <c:numCache>
                <c:formatCode>General</c:formatCode>
                <c:ptCount val="4"/>
                <c:pt idx="0">
                  <c:v>63</c:v>
                </c:pt>
                <c:pt idx="1">
                  <c:v>651</c:v>
                </c:pt>
                <c:pt idx="2">
                  <c:v>40</c:v>
                </c:pt>
                <c:pt idx="3">
                  <c:v>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7-47D6-BBC5-898EBBD02DF9}"/>
            </c:ext>
          </c:extLst>
        </c:ser>
        <c:ser>
          <c:idx val="1"/>
          <c:order val="1"/>
          <c:tx>
            <c:strRef>
              <c:f>Planilha2!$O$10</c:f>
              <c:strCache>
                <c:ptCount val="1"/>
                <c:pt idx="0">
                  <c:v>Staff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Planilha2!$M$11:$M$14</c:f>
              <c:strCache>
                <c:ptCount val="4"/>
                <c:pt idx="0">
                  <c:v>Paraty</c:v>
                </c:pt>
                <c:pt idx="1">
                  <c:v>Porto Real</c:v>
                </c:pt>
                <c:pt idx="2">
                  <c:v>Volta Redonda</c:v>
                </c:pt>
                <c:pt idx="3">
                  <c:v>Total</c:v>
                </c:pt>
              </c:strCache>
            </c:strRef>
          </c:cat>
          <c:val>
            <c:numRef>
              <c:f>Planilha2!$O$11:$O$14</c:f>
              <c:numCache>
                <c:formatCode>General</c:formatCode>
                <c:ptCount val="4"/>
                <c:pt idx="0">
                  <c:v>18</c:v>
                </c:pt>
                <c:pt idx="1">
                  <c:v>96</c:v>
                </c:pt>
                <c:pt idx="2">
                  <c:v>22</c:v>
                </c:pt>
                <c:pt idx="3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B7-47D6-BBC5-898EBBD02DF9}"/>
            </c:ext>
          </c:extLst>
        </c:ser>
        <c:ser>
          <c:idx val="2"/>
          <c:order val="2"/>
          <c:tx>
            <c:strRef>
              <c:f>Planilha2!$P$10</c:f>
              <c:strCache>
                <c:ptCount val="1"/>
                <c:pt idx="0">
                  <c:v>Community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Planilha2!$M$11:$M$14</c:f>
              <c:strCache>
                <c:ptCount val="4"/>
                <c:pt idx="0">
                  <c:v>Paraty</c:v>
                </c:pt>
                <c:pt idx="1">
                  <c:v>Porto Real</c:v>
                </c:pt>
                <c:pt idx="2">
                  <c:v>Volta Redonda</c:v>
                </c:pt>
                <c:pt idx="3">
                  <c:v>Total</c:v>
                </c:pt>
              </c:strCache>
            </c:strRef>
          </c:cat>
          <c:val>
            <c:numRef>
              <c:f>Planilha2!$P$11:$P$14</c:f>
              <c:numCache>
                <c:formatCode>General</c:formatCode>
                <c:ptCount val="4"/>
                <c:pt idx="0">
                  <c:v>15</c:v>
                </c:pt>
                <c:pt idx="1">
                  <c:v>233</c:v>
                </c:pt>
                <c:pt idx="2">
                  <c:v>4</c:v>
                </c:pt>
                <c:pt idx="3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B7-47D6-BBC5-898EBBD02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0962495"/>
        <c:axId val="510954815"/>
      </c:barChart>
      <c:catAx>
        <c:axId val="510962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10954815"/>
        <c:crosses val="autoZero"/>
        <c:auto val="1"/>
        <c:lblAlgn val="ctr"/>
        <c:lblOffset val="100"/>
        <c:noMultiLvlLbl val="0"/>
      </c:catAx>
      <c:valAx>
        <c:axId val="510954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51096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828CEE1F-75ED-4A33-A5A6-067EAFD0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3304</Words>
  <Characters>17843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Hiago Tavares</dc:creator>
  <cp:keywords/>
  <dc:description/>
  <cp:lastModifiedBy>Dilma Lacerda</cp:lastModifiedBy>
  <cp:revision>17</cp:revision>
  <dcterms:created xsi:type="dcterms:W3CDTF">2025-07-03T11:48:00Z</dcterms:created>
  <dcterms:modified xsi:type="dcterms:W3CDTF">2025-09-23T20:10:00Z</dcterms:modified>
</cp:coreProperties>
</file>