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120" w:line="36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Potencial dos RSU na Transição Energética e na Economia Circular: Uma Análise Comparativa de Cenários para o Consórcio Localizado na Região dos Lagos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120" w:line="240" w:lineRule="auto"/>
        <w:ind w:left="0" w:right="0" w:firstLine="0"/>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120" w:line="240" w:lineRule="auto"/>
        <w:ind w:left="0" w:right="0" w:firstLine="0"/>
        <w:jc w:val="center"/>
        <w:rPr>
          <w:rFonts w:ascii="Arial" w:cs="Arial" w:eastAsia="Arial" w:hAnsi="Arial"/>
          <w:highlight w:val="white"/>
        </w:rPr>
      </w:pPr>
      <w:r w:rsidDel="00000000" w:rsidR="00000000" w:rsidRPr="00000000">
        <w:rPr>
          <w:rFonts w:ascii="Arial" w:cs="Arial" w:eastAsia="Arial" w:hAnsi="Arial"/>
          <w:highlight w:val="white"/>
          <w:rtl w:val="0"/>
        </w:rPr>
        <w:t xml:space="preserve">Diego Macedo Veneu</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120" w:line="240" w:lineRule="auto"/>
        <w:ind w:left="0" w:right="0" w:firstLine="0"/>
        <w:jc w:val="center"/>
        <w:rPr>
          <w:rFonts w:ascii="Arial" w:cs="Arial" w:eastAsia="Arial" w:hAnsi="Arial"/>
          <w:highlight w:val="white"/>
        </w:rPr>
      </w:pPr>
      <w:r w:rsidDel="00000000" w:rsidR="00000000" w:rsidRPr="00000000">
        <w:rPr>
          <w:rFonts w:ascii="Arial" w:cs="Arial" w:eastAsia="Arial" w:hAnsi="Arial"/>
          <w:highlight w:val="white"/>
          <w:rtl w:val="0"/>
        </w:rPr>
        <w:t xml:space="preserve"> André Rodrigues Pereira</w:t>
      </w:r>
    </w:p>
    <w:p w:rsidR="00000000" w:rsidDel="00000000" w:rsidP="00000000" w:rsidRDefault="00000000" w:rsidRPr="00000000" w14:paraId="00000005">
      <w:pPr>
        <w:tabs>
          <w:tab w:val="left" w:leader="none" w:pos="720"/>
        </w:tabs>
        <w:spacing w:after="0" w:before="120" w:line="24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Alexandre Lioi Nascentes</w:t>
      </w:r>
    </w:p>
    <w:p w:rsidR="00000000" w:rsidDel="00000000" w:rsidP="00000000" w:rsidRDefault="00000000" w:rsidRPr="00000000" w14:paraId="00000006">
      <w:pPr>
        <w:tabs>
          <w:tab w:val="left" w:leader="none" w:pos="720"/>
        </w:tabs>
        <w:spacing w:after="0" w:before="120" w:line="24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Felipe Sombra dos Santos</w:t>
      </w:r>
    </w:p>
    <w:p w:rsidR="00000000" w:rsidDel="00000000" w:rsidP="00000000" w:rsidRDefault="00000000" w:rsidRPr="00000000" w14:paraId="00000007">
      <w:pPr>
        <w:tabs>
          <w:tab w:val="left" w:leader="none" w:pos="720"/>
        </w:tabs>
        <w:spacing w:after="0" w:before="120" w:line="24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Gisele Martins da Rocha</w:t>
      </w:r>
    </w:p>
    <w:p w:rsidR="00000000" w:rsidDel="00000000" w:rsidP="00000000" w:rsidRDefault="00000000" w:rsidRPr="00000000" w14:paraId="00000008">
      <w:pPr>
        <w:tabs>
          <w:tab w:val="left" w:leader="none" w:pos="720"/>
        </w:tabs>
        <w:spacing w:after="0" w:before="120" w:line="24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Isabelle Santux Mendes Pereira</w:t>
      </w:r>
    </w:p>
    <w:p w:rsidR="00000000" w:rsidDel="00000000" w:rsidP="00000000" w:rsidRDefault="00000000" w:rsidRPr="00000000" w14:paraId="00000009">
      <w:pPr>
        <w:tabs>
          <w:tab w:val="left" w:leader="none" w:pos="720"/>
        </w:tabs>
        <w:spacing w:after="0" w:before="120" w:line="24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Kauã Machado Siqueira</w:t>
      </w:r>
    </w:p>
    <w:p w:rsidR="00000000" w:rsidDel="00000000" w:rsidP="00000000" w:rsidRDefault="00000000" w:rsidRPr="00000000" w14:paraId="0000000A">
      <w:pPr>
        <w:tabs>
          <w:tab w:val="left" w:leader="none" w:pos="720"/>
        </w:tabs>
        <w:spacing w:after="0" w:before="120" w:line="24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Marcello Amaral de Oliveira</w:t>
      </w:r>
    </w:p>
    <w:p w:rsidR="00000000" w:rsidDel="00000000" w:rsidP="00000000" w:rsidRDefault="00000000" w:rsidRPr="00000000" w14:paraId="0000000B">
      <w:pPr>
        <w:tabs>
          <w:tab w:val="left" w:leader="none" w:pos="720"/>
        </w:tabs>
        <w:spacing w:after="0" w:before="120" w:line="24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Maria Eduarda da Silva Barreto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120" w:line="240" w:lineRule="auto"/>
        <w:ind w:left="0" w:right="0" w:firstLine="0"/>
        <w:jc w:val="center"/>
        <w:rPr>
          <w:rFonts w:ascii="Arial" w:cs="Arial" w:eastAsia="Arial" w:hAnsi="Arial"/>
          <w:highlight w:val="white"/>
        </w:rPr>
      </w:pPr>
      <w:r w:rsidDel="00000000" w:rsidR="00000000" w:rsidRPr="00000000">
        <w:rPr>
          <w:rFonts w:ascii="Arial" w:cs="Arial" w:eastAsia="Arial" w:hAnsi="Arial"/>
          <w:highlight w:val="white"/>
          <w:rtl w:val="0"/>
        </w:rPr>
        <w:t xml:space="preserve"> Maria Luisa Pinheiro da Rocha</w:t>
      </w:r>
    </w:p>
    <w:p w:rsidR="00000000" w:rsidDel="00000000" w:rsidP="00000000" w:rsidRDefault="00000000" w:rsidRPr="00000000" w14:paraId="0000000D">
      <w:pPr>
        <w:tabs>
          <w:tab w:val="left" w:leader="none" w:pos="720"/>
        </w:tabs>
        <w:spacing w:after="0" w:before="120" w:line="240" w:lineRule="auto"/>
        <w:jc w:val="center"/>
        <w:rPr>
          <w:rFonts w:ascii="Arial" w:cs="Arial" w:eastAsia="Arial" w:hAnsi="Arial"/>
          <w:highlight w:val="white"/>
        </w:rPr>
      </w:pPr>
      <w:r w:rsidDel="00000000" w:rsidR="00000000" w:rsidRPr="00000000">
        <w:rPr>
          <w:rFonts w:ascii="Arial" w:cs="Arial" w:eastAsia="Arial" w:hAnsi="Arial"/>
          <w:highlight w:val="white"/>
          <w:rtl w:val="0"/>
        </w:rPr>
        <w:t xml:space="preserve"> Mário Jorge Mello Abrahim Fernandes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120" w:line="240" w:lineRule="auto"/>
        <w:ind w:left="0" w:right="0" w:firstLine="0"/>
        <w:jc w:val="center"/>
        <w:rPr>
          <w:rFonts w:ascii="Arial" w:cs="Arial" w:eastAsia="Arial" w:hAnsi="Arial"/>
          <w:highlight w:val="white"/>
        </w:rPr>
      </w:pPr>
      <w:r w:rsidDel="00000000" w:rsidR="00000000" w:rsidRPr="00000000">
        <w:rPr>
          <w:rFonts w:ascii="Arial" w:cs="Arial" w:eastAsia="Arial" w:hAnsi="Arial"/>
          <w:highlight w:val="white"/>
          <w:rtl w:val="0"/>
        </w:rPr>
        <w:t xml:space="preserve"> Raquel de Souza Baltar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120" w:line="240" w:lineRule="auto"/>
        <w:ind w:left="0" w:right="0" w:firstLine="0"/>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120" w:line="240" w:lineRule="auto"/>
        <w:ind w:left="0" w:right="0" w:firstLine="0"/>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120" w:before="120" w:line="24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Resumo</w:t>
      </w: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trabalho analisa o aproveitamento energético dos Resíduos Sólidos Urbanos (RSU) de 8 municípios que integram o consórcio do Aterro Sanitário de Dois Arcos, propondo dois cenários: o atual (Cenário I), baseado no aproveitamento do metano gerado no aterro de 100% dos RSU, e um alternativo (Cenário II), que incorpora a reciclagem de materiais como papel/papelão, plásticos, metais e vidros. Utilizando dados de geração e composição dos RSU de 2025 a 2040, foram estimados ganhos energéticos e redução de emissões de CH₄, resultando nos valores de 16.964 MWh/dia para o Cenário II e de 1.694 MWh/dia para o Cenário I, indicando que a reciclagem, somada ao aproveitamento do biometano, proporciona maior geração de energia e contribui para a transição energética e a economia circular, além de ampliar a vida útil dos aterros.</w:t>
      </w:r>
    </w:p>
    <w:p w:rsidR="00000000" w:rsidDel="00000000" w:rsidP="00000000" w:rsidRDefault="00000000" w:rsidRPr="00000000" w14:paraId="00000013">
      <w:pPr>
        <w:pStyle w:val="Heading1"/>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Palavras-chave:</w:t>
      </w:r>
      <w:r w:rsidDel="00000000" w:rsidR="00000000" w:rsidRPr="00000000">
        <w:rPr>
          <w:rFonts w:ascii="Times New Roman" w:cs="Times New Roman" w:eastAsia="Times New Roman" w:hAnsi="Times New Roman"/>
          <w:color w:val="000000"/>
          <w:sz w:val="24"/>
          <w:szCs w:val="24"/>
          <w:rtl w:val="0"/>
        </w:rPr>
        <w:t xml:space="preserve"> Resíduo Sólido Urbano, Energia, Aterro Sanitário, Reciclagem</w:t>
      </w:r>
    </w:p>
    <w:p w:rsidR="00000000" w:rsidDel="00000000" w:rsidP="00000000" w:rsidRDefault="00000000" w:rsidRPr="00000000" w14:paraId="00000014">
      <w:pPr>
        <w:pStyle w:val="Heading1"/>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Introdução</w:t>
      </w:r>
    </w:p>
    <w:p w:rsidR="00000000" w:rsidDel="00000000" w:rsidP="00000000" w:rsidRDefault="00000000" w:rsidRPr="00000000" w14:paraId="00000015">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Segundo ABREMA (2024) no Brasil, cada habitante gerou, em média, 1,047 kg de Resíduo Sólido Urbano (RSU) por dia em 2023, culminando em uma geração anual estimada de aproximadamente 81 milhões de toneladas de RSU. Após a implementação da Lei 12.305 de 2010 (Brasil, 2010) que estimulou à implantação de consórcios intermunicipais com vistas à viabilização de soluções conjuntas na área de resíduos sólidos, houve uma grande adequação dos municípios em relação ao tratamento e a disposição final ambientalmente adequada de seus resíduos. No Brasil, do total de RSU coletados, cerca de 55% são dispostos em aterros sanitários, 38,4% em lixões/aterros controlados e somente 6% enviados a centrais de triagem de recicláveis (ABREMA, 2024).</w:t>
      </w:r>
    </w:p>
    <w:p w:rsidR="00000000" w:rsidDel="00000000" w:rsidP="00000000" w:rsidRDefault="00000000" w:rsidRPr="00000000" w14:paraId="00000016">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Plano Nacional de Resíduos Sólidos (Planares), instituído por meio do Decreto nº 11.043, de 13 de abril de 2022, é um importante instrumento da Política Nacional de Resíduos Sólidos (PNRS) pois apresenta um caminho para se alcançar os objetivos e materializar a PNRS por meio de diretrizes, estratégias, ações e metas para melhorar a gestão de resíduos sólidos no País. Além do encerramento de todos os lixões, é previsto o aumento da recuperação de resíduos para cerca de 50% em 20 anos. Assim, metade do “lixo” gerado deverá deixar de ser aterrado e passará a ser reaproveitado por meio da reciclagem, compostagem, biodigestão e recuperação energética (Brasil, 2022). </w:t>
      </w:r>
    </w:p>
    <w:p w:rsidR="00000000" w:rsidDel="00000000" w:rsidP="00000000" w:rsidRDefault="00000000" w:rsidRPr="00000000" w14:paraId="00000017">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Neste contexto, fica claro que o Brasil ainda está em fase de transição, saindo de um sistema exclusivo de disposição inadequada (lixão/aterro controlado) de RSU e caminhando para um modelo mais sustentável, com a disposição em aterros sanitários, além de iniciativas como o aproveitamento energético a partir do biogás e a ampliação das centrais de reciclagem. De acordo com Pereira Jr. (2020) a prática estabelecida nos conceitos associados a redução, reutilização, recuperação e reciclagem de materiais e energia podem contribuir para a diminuição da extração de recursos naturais, evitando-se o descarte de resíduos em aterros sanitários e reduzindo a pressão sobre o meio ambiente, contribuindo também para atingir a meta referente aos Objetivos do Desenvolvimento Sustentável - ODS n</w:t>
      </w:r>
      <w:r w:rsidDel="00000000" w:rsidR="00000000" w:rsidRPr="00000000">
        <w:rPr>
          <w:rFonts w:ascii="Times New Roman" w:cs="Times New Roman" w:eastAsia="Times New Roman" w:hAnsi="Times New Roman"/>
          <w:color w:val="000000"/>
          <w:sz w:val="24"/>
          <w:szCs w:val="24"/>
          <w:vertAlign w:val="superscript"/>
          <w:rtl w:val="0"/>
        </w:rPr>
        <w:t xml:space="preserve">o</w:t>
      </w:r>
      <w:r w:rsidDel="00000000" w:rsidR="00000000" w:rsidRPr="00000000">
        <w:rPr>
          <w:rFonts w:ascii="Times New Roman" w:cs="Times New Roman" w:eastAsia="Times New Roman" w:hAnsi="Times New Roman"/>
          <w:color w:val="000000"/>
          <w:sz w:val="24"/>
          <w:szCs w:val="24"/>
          <w:rtl w:val="0"/>
        </w:rPr>
        <w:t xml:space="preserve"> 12 que tem entre suas metas a redução da geração de resíduos e a ampliação da reciclagem e reutilização (ONU, 2023).</w:t>
      </w:r>
    </w:p>
    <w:p w:rsidR="00000000" w:rsidDel="00000000" w:rsidP="00000000" w:rsidRDefault="00000000" w:rsidRPr="00000000" w14:paraId="00000018">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muitos aterros sanitários como o de Dois Arcos, que recebe os RSU dos municípios de São Pedro da Aldeia, Cabo Frio, Arraial do Cabo, Armação dos Búzios, Araruama, Iguaba Grande, Casimiro de Abreu e Silva Jardim, já é realizado o aproveitamento energético do biogás, entretanto, uma boa parte destes RSU dispostos, ainda são passíveis de serem reciclados. Dentro de uma visão mais abrangente, o aproveitamento energético de RSU compreende também a reciclagem do material coletado que a isto se presta, como papel/papelão, vidros, plásticos, borrachas e metais. Deve-se considerar que a reciclagem permite a substituição de insumos para cuja produção há, normalmente, grande consumo de energia. Por aliviar pressões de demanda de matérias-primas, inclusive recursos naturais, e de energia, a reciclagem se constitui, em princípio, em uma forma ambientalmente eficiente de aproveitamento energético de RSU (EPE, 2008).</w:t>
      </w:r>
    </w:p>
    <w:p w:rsidR="00000000" w:rsidDel="00000000" w:rsidP="00000000" w:rsidRDefault="00000000" w:rsidRPr="00000000" w14:paraId="0000001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Objetivo</w:t>
      </w:r>
    </w:p>
    <w:p w:rsidR="00000000" w:rsidDel="00000000" w:rsidP="00000000" w:rsidRDefault="00000000" w:rsidRPr="00000000" w14:paraId="0000001A">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presente estudo apresenta 2 cenários de aproveitamento energético dos RSU para os municípios que atualmente fazem parte do consórcio que dispõem seus resíduos no Aterro Sanitário de Dois Arcos. A elaboração dos cenários tem como finalidade a comparação do atual modelo (Cenário I) com um novo modelo (Cenário II) demonstrando quais seriam os ganhos futuro com a implementação deste novo modelo que envolve o ganho energético adicional com a reciclagem dos materiais que hoje são destinados diretamente ao aterro, além do atual ganho que provêm da queima do biometano proveniente do aterro. </w:t>
      </w:r>
    </w:p>
    <w:p w:rsidR="00000000" w:rsidDel="00000000" w:rsidP="00000000" w:rsidRDefault="00000000" w:rsidRPr="00000000" w14:paraId="0000001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Metodologia </w:t>
      </w:r>
    </w:p>
    <w:p w:rsidR="00000000" w:rsidDel="00000000" w:rsidP="00000000" w:rsidRDefault="00000000" w:rsidRPr="00000000" w14:paraId="0000001C">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Um levantamento da quantidade e composição do RSU dos municípios de São Pedro da Aldeia, Cabo Frio, Arraial do Cabo, Armação dos Búzios, Araruama, Iguaba Grande, Casimiro de Abreu e Silva Jardim partindo do ano base de 2025 até o ano de 2040 foi realizado para gerar os dados iniciais que serão inseridos nos cálculos para gerar os valores de ganhos energéticos frente a reciclagem e ao aproveitamento do gás metano proveniente do aterro bioenergético.  </w:t>
      </w:r>
    </w:p>
    <w:p w:rsidR="00000000" w:rsidDel="00000000" w:rsidP="00000000" w:rsidRDefault="00000000" w:rsidRPr="00000000" w14:paraId="0000001D">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Posteriormente serão apresentadas as metodologias para estimar as emissões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de aterros e da energia elétrica potencialmente acumulada a partir do uso de material reciclável, possibilitando assim, a construção do  “Cenário I” proveniente do ganho energético do metano gerado do aterramento de 100% do RSU gerado no consórcio (atual cenário) e do “Cenário II” proveniente do potencial ganho energético com a reciclagem de materiais como papel/papelão, plástico, metal e vidro que geralmente são depositados no aterro e do metano gerado da fração orgânica do RSU dos municípios.</w:t>
      </w:r>
    </w:p>
    <w:p w:rsidR="00000000" w:rsidDel="00000000" w:rsidP="00000000" w:rsidRDefault="00000000" w:rsidRPr="00000000" w14:paraId="0000001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3.1 Determinação da População e Quantidade de RSU por Município</w:t>
      </w:r>
    </w:p>
    <w:p w:rsidR="00000000" w:rsidDel="00000000" w:rsidP="00000000" w:rsidRDefault="00000000" w:rsidRPr="00000000" w14:paraId="0000001F">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a estimativa da população dos municípios que faze parte do consórcio, foram levantados os dados obtidos através dos censos dos anos de 1991, 1996, 2000, 2007, 2010 e 2022 (IBGE, 2025). Com base nos dados censitários (Tabela 1), foi possível calcular a projeção populacional para o horizonte proposto (2025 a 2040) a partir da taxa de crescimento populacional médio utilizando-se o método matemático de projeção aritmética de acordo com a Equação 1. </w:t>
      </w:r>
    </w:p>
    <w:p w:rsidR="00000000" w:rsidDel="00000000" w:rsidP="00000000" w:rsidRDefault="00000000" w:rsidRPr="00000000" w14:paraId="0000002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m:oMath>
        <m:sSub>
          <m:sSubPr>
            <m:ctrlPr>
              <w:rPr>
                <w:rFonts w:ascii="Cambria Math" w:cs="Cambria Math" w:eastAsia="Cambria Math" w:hAnsi="Cambria Math"/>
                <w:color w:val="000000"/>
                <w:sz w:val="24"/>
                <w:szCs w:val="24"/>
              </w:rPr>
            </m:ctrlPr>
          </m:sSubPr>
          <m:e>
            <m:r>
              <w:rPr>
                <w:rFonts w:ascii="Cambria Math" w:cs="Cambria Math" w:eastAsia="Cambria Math" w:hAnsi="Cambria Math"/>
                <w:color w:val="000000"/>
                <w:sz w:val="24"/>
                <w:szCs w:val="24"/>
              </w:rPr>
              <m:t xml:space="preserve">P</m:t>
            </m:r>
          </m:e>
          <m:sub>
            <m:r>
              <w:rPr>
                <w:rFonts w:ascii="Cambria Math" w:cs="Cambria Math" w:eastAsia="Cambria Math" w:hAnsi="Cambria Math"/>
                <w:color w:val="000000"/>
                <w:sz w:val="24"/>
                <w:szCs w:val="24"/>
              </w:rPr>
              <m:t xml:space="preserve">t</m:t>
            </m:r>
          </m:sub>
        </m:sSub>
        <m:r>
          <w:rPr>
            <w:rFonts w:ascii="Cambria Math" w:cs="Cambria Math" w:eastAsia="Cambria Math" w:hAnsi="Cambria Math"/>
            <w:color w:val="000000"/>
            <w:sz w:val="24"/>
            <w:szCs w:val="24"/>
          </w:rPr>
          <m:t xml:space="preserve">=</m:t>
        </m:r>
        <m:sSub>
          <m:sSubPr>
            <m:ctrlPr>
              <w:rPr>
                <w:rFonts w:ascii="Cambria Math" w:cs="Cambria Math" w:eastAsia="Cambria Math" w:hAnsi="Cambria Math"/>
                <w:color w:val="000000"/>
                <w:sz w:val="24"/>
                <w:szCs w:val="24"/>
              </w:rPr>
            </m:ctrlPr>
          </m:sSubPr>
          <m:e>
            <m:r>
              <w:rPr>
                <w:rFonts w:ascii="Cambria Math" w:cs="Cambria Math" w:eastAsia="Cambria Math" w:hAnsi="Cambria Math"/>
                <w:color w:val="000000"/>
                <w:sz w:val="24"/>
                <w:szCs w:val="24"/>
              </w:rPr>
              <m:t xml:space="preserve">P</m:t>
            </m:r>
          </m:e>
          <m:sub>
            <m:r>
              <w:rPr>
                <w:rFonts w:ascii="Cambria Math" w:cs="Cambria Math" w:eastAsia="Cambria Math" w:hAnsi="Cambria Math"/>
                <w:color w:val="000000"/>
                <w:sz w:val="24"/>
                <w:szCs w:val="24"/>
              </w:rPr>
              <m:t xml:space="preserve">0</m:t>
            </m:r>
          </m:sub>
        </m:sSub>
        <m:r>
          <w:rPr>
            <w:rFonts w:ascii="Cambria Math" w:cs="Cambria Math" w:eastAsia="Cambria Math" w:hAnsi="Cambria Math"/>
            <w:color w:val="000000"/>
            <w:sz w:val="24"/>
            <w:szCs w:val="24"/>
          </w:rPr>
          <m:t xml:space="preserve">.</m:t>
        </m:r>
        <m:sSub>
          <m:sSubPr>
            <m:ctrlPr>
              <w:rPr>
                <w:rFonts w:ascii="Cambria Math" w:cs="Cambria Math" w:eastAsia="Cambria Math" w:hAnsi="Cambria Math"/>
                <w:color w:val="000000"/>
                <w:sz w:val="24"/>
                <w:szCs w:val="24"/>
              </w:rPr>
            </m:ctrlPr>
          </m:sSubPr>
          <m:e>
            <m:r>
              <w:rPr>
                <w:rFonts w:ascii="Cambria Math" w:cs="Cambria Math" w:eastAsia="Cambria Math" w:hAnsi="Cambria Math"/>
                <w:color w:val="000000"/>
                <w:sz w:val="24"/>
                <w:szCs w:val="24"/>
              </w:rPr>
              <m:t xml:space="preserve">k</m:t>
            </m:r>
          </m:e>
          <m:sub>
            <m:r>
              <w:rPr>
                <w:rFonts w:ascii="Cambria Math" w:cs="Cambria Math" w:eastAsia="Cambria Math" w:hAnsi="Cambria Math"/>
                <w:color w:val="000000"/>
                <w:sz w:val="24"/>
                <w:szCs w:val="24"/>
              </w:rPr>
              <m:t xml:space="preserve">a</m:t>
            </m:r>
          </m:sub>
        </m:sSub>
        <m:d>
          <m:dPr>
            <m:begChr m:val="("/>
            <m:endChr m:val=")"/>
            <m:ctrlPr>
              <w:rPr>
                <w:rFonts w:ascii="Cambria Math" w:cs="Cambria Math" w:eastAsia="Cambria Math" w:hAnsi="Cambria Math"/>
                <w:color w:val="000000"/>
                <w:sz w:val="24"/>
                <w:szCs w:val="24"/>
              </w:rPr>
            </m:ctrlPr>
          </m:dPr>
          <m:e>
            <m:r>
              <w:rPr>
                <w:rFonts w:ascii="Cambria Math" w:cs="Cambria Math" w:eastAsia="Cambria Math" w:hAnsi="Cambria Math"/>
                <w:color w:val="000000"/>
                <w:sz w:val="24"/>
                <w:szCs w:val="24"/>
              </w:rPr>
              <m:t xml:space="preserve">t-</m:t>
            </m:r>
            <m:sSub>
              <m:sSubPr>
                <m:ctrlPr>
                  <w:rPr>
                    <w:rFonts w:ascii="Cambria Math" w:cs="Cambria Math" w:eastAsia="Cambria Math" w:hAnsi="Cambria Math"/>
                    <w:color w:val="000000"/>
                    <w:sz w:val="24"/>
                    <w:szCs w:val="24"/>
                  </w:rPr>
                </m:ctrlPr>
              </m:sSubPr>
              <m:e>
                <m:r>
                  <w:rPr>
                    <w:rFonts w:ascii="Cambria Math" w:cs="Cambria Math" w:eastAsia="Cambria Math" w:hAnsi="Cambria Math"/>
                    <w:color w:val="000000"/>
                    <w:sz w:val="24"/>
                    <w:szCs w:val="24"/>
                  </w:rPr>
                  <m:t xml:space="preserve">t</m:t>
                </m:r>
              </m:e>
              <m:sub>
                <m:r>
                  <w:rPr>
                    <w:rFonts w:ascii="Cambria Math" w:cs="Cambria Math" w:eastAsia="Cambria Math" w:hAnsi="Cambria Math"/>
                    <w:color w:val="000000"/>
                    <w:sz w:val="24"/>
                    <w:szCs w:val="24"/>
                  </w:rPr>
                  <m:t xml:space="preserve">0</m:t>
                </m:r>
              </m:sub>
            </m:sSub>
          </m:e>
        </m:d>
      </m:oMath>
      <w:r w:rsidDel="00000000" w:rsidR="00000000" w:rsidRPr="00000000">
        <w:rPr>
          <w:rFonts w:ascii="Times New Roman" w:cs="Times New Roman" w:eastAsia="Times New Roman" w:hAnsi="Times New Roman"/>
          <w:color w:val="000000"/>
          <w:sz w:val="24"/>
          <w:szCs w:val="24"/>
          <w:rtl w:val="0"/>
        </w:rPr>
        <w:t xml:space="preserve">                                                                                                                                                (1)</w:t>
      </w:r>
    </w:p>
    <w:p w:rsidR="00000000" w:rsidDel="00000000" w:rsidP="00000000" w:rsidRDefault="00000000" w:rsidRPr="00000000" w14:paraId="00000021">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Onde: P</w:t>
      </w:r>
      <w:r w:rsidDel="00000000" w:rsidR="00000000" w:rsidRPr="00000000">
        <w:rPr>
          <w:rFonts w:ascii="Times New Roman" w:cs="Times New Roman" w:eastAsia="Times New Roman" w:hAnsi="Times New Roman"/>
          <w:color w:val="000000"/>
          <w:sz w:val="24"/>
          <w:szCs w:val="24"/>
          <w:vertAlign w:val="subscript"/>
          <w:rtl w:val="0"/>
        </w:rPr>
        <w:t xml:space="preserve">t</w:t>
      </w:r>
      <w:r w:rsidDel="00000000" w:rsidR="00000000" w:rsidRPr="00000000">
        <w:rPr>
          <w:rFonts w:ascii="Times New Roman" w:cs="Times New Roman" w:eastAsia="Times New Roman" w:hAnsi="Times New Roman"/>
          <w:color w:val="000000"/>
          <w:sz w:val="24"/>
          <w:szCs w:val="24"/>
          <w:rtl w:val="0"/>
        </w:rPr>
        <w:t xml:space="preserve"> é população no ano t (hab.); P</w:t>
      </w:r>
      <w:r w:rsidDel="00000000" w:rsidR="00000000" w:rsidRPr="00000000">
        <w:rPr>
          <w:rFonts w:ascii="Times New Roman" w:cs="Times New Roman" w:eastAsia="Times New Roman" w:hAnsi="Times New Roman"/>
          <w:color w:val="000000"/>
          <w:sz w:val="24"/>
          <w:szCs w:val="24"/>
          <w:vertAlign w:val="subscript"/>
          <w:rtl w:val="0"/>
        </w:rPr>
        <w:t xml:space="preserve">0</w:t>
      </w:r>
      <w:r w:rsidDel="00000000" w:rsidR="00000000" w:rsidRPr="00000000">
        <w:rPr>
          <w:rFonts w:ascii="Times New Roman" w:cs="Times New Roman" w:eastAsia="Times New Roman" w:hAnsi="Times New Roman"/>
          <w:color w:val="000000"/>
          <w:sz w:val="24"/>
          <w:szCs w:val="24"/>
          <w:rtl w:val="0"/>
        </w:rPr>
        <w:t xml:space="preserve"> é a população no ano t</w:t>
      </w:r>
      <w:r w:rsidDel="00000000" w:rsidR="00000000" w:rsidRPr="00000000">
        <w:rPr>
          <w:rFonts w:ascii="Times New Roman" w:cs="Times New Roman" w:eastAsia="Times New Roman" w:hAnsi="Times New Roman"/>
          <w:color w:val="000000"/>
          <w:sz w:val="24"/>
          <w:szCs w:val="24"/>
          <w:vertAlign w:val="subscript"/>
          <w:rtl w:val="0"/>
        </w:rPr>
        <w:t xml:space="preserve">0</w:t>
      </w:r>
      <w:r w:rsidDel="00000000" w:rsidR="00000000" w:rsidRPr="00000000">
        <w:rPr>
          <w:rFonts w:ascii="Times New Roman" w:cs="Times New Roman" w:eastAsia="Times New Roman" w:hAnsi="Times New Roman"/>
          <w:color w:val="000000"/>
          <w:sz w:val="24"/>
          <w:szCs w:val="24"/>
          <w:rtl w:val="0"/>
        </w:rPr>
        <w:t xml:space="preserve"> (hab.); ka é a taxa de crescimento; t e t</w:t>
      </w:r>
      <w:r w:rsidDel="00000000" w:rsidR="00000000" w:rsidRPr="00000000">
        <w:rPr>
          <w:rFonts w:ascii="Times New Roman" w:cs="Times New Roman" w:eastAsia="Times New Roman" w:hAnsi="Times New Roman"/>
          <w:color w:val="000000"/>
          <w:sz w:val="24"/>
          <w:szCs w:val="24"/>
          <w:vertAlign w:val="subscript"/>
          <w:rtl w:val="0"/>
        </w:rPr>
        <w:t xml:space="preserve">0</w:t>
      </w:r>
      <w:r w:rsidDel="00000000" w:rsidR="00000000" w:rsidRPr="00000000">
        <w:rPr>
          <w:rFonts w:ascii="Times New Roman" w:cs="Times New Roman" w:eastAsia="Times New Roman" w:hAnsi="Times New Roman"/>
          <w:color w:val="000000"/>
          <w:sz w:val="24"/>
          <w:szCs w:val="24"/>
          <w:rtl w:val="0"/>
        </w:rPr>
        <w:t xml:space="preserve"> é o tempo (ano).</w:t>
      </w:r>
    </w:p>
    <w:p w:rsidR="00000000" w:rsidDel="00000000" w:rsidP="00000000" w:rsidRDefault="00000000" w:rsidRPr="00000000" w14:paraId="00000022">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quantidade de RSU gerado a cada ano é determinada pelo produto da multiplicação da população em cada ano t pela geração per capita de RSU dos municípios. Foram realizados levantamentos através do Sistema Nacional de Informações sobre Saneamento (SNIS) de cada município a fim de se obter a geração per capita média (kg RSU/hab.dia). A Tabela 2 mostra os valores obtidos para cada um dos municípios do consórcio.</w:t>
      </w:r>
    </w:p>
    <w:p w:rsidR="00000000" w:rsidDel="00000000" w:rsidP="00000000" w:rsidRDefault="00000000" w:rsidRPr="00000000" w14:paraId="00000023">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4">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Tabela 1</w:t>
      </w:r>
      <w:r w:rsidDel="00000000" w:rsidR="00000000" w:rsidRPr="00000000">
        <w:rPr>
          <w:rFonts w:ascii="Times New Roman" w:cs="Times New Roman" w:eastAsia="Times New Roman" w:hAnsi="Times New Roman"/>
          <w:color w:val="000000"/>
          <w:sz w:val="24"/>
          <w:szCs w:val="24"/>
          <w:rtl w:val="0"/>
        </w:rPr>
        <w:t xml:space="preserve">. Valores dos Censos de 1991 a 2022 da População de Cada Município Utilizados nas Projeções</w:t>
      </w:r>
    </w:p>
    <w:tbl>
      <w:tblPr>
        <w:tblStyle w:val="Table1"/>
        <w:tblW w:w="7800.0" w:type="dxa"/>
        <w:jc w:val="center"/>
        <w:tblLayout w:type="fixed"/>
        <w:tblLook w:val="0400"/>
      </w:tblPr>
      <w:tblGrid>
        <w:gridCol w:w="2040"/>
        <w:gridCol w:w="829"/>
        <w:gridCol w:w="987"/>
        <w:gridCol w:w="986"/>
        <w:gridCol w:w="986"/>
        <w:gridCol w:w="986"/>
        <w:gridCol w:w="986"/>
        <w:tblGridChange w:id="0">
          <w:tblGrid>
            <w:gridCol w:w="2040"/>
            <w:gridCol w:w="829"/>
            <w:gridCol w:w="987"/>
            <w:gridCol w:w="986"/>
            <w:gridCol w:w="986"/>
            <w:gridCol w:w="986"/>
            <w:gridCol w:w="986"/>
          </w:tblGrid>
        </w:tblGridChange>
      </w:tblGrid>
      <w:tr>
        <w:trPr>
          <w:cantSplit w:val="0"/>
          <w:trHeight w:val="315" w:hRule="atLeast"/>
          <w:tblHeader w:val="0"/>
        </w:trPr>
        <w:tc>
          <w:tcPr>
            <w:vMerge w:val="restart"/>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2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Município</w:t>
            </w:r>
          </w:p>
        </w:tc>
        <w:tc>
          <w:tcPr>
            <w:gridSpan w:val="6"/>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População (hab.)</w:t>
            </w:r>
          </w:p>
        </w:tc>
      </w:tr>
      <w:tr>
        <w:trPr>
          <w:cantSplit w:val="0"/>
          <w:trHeight w:val="315" w:hRule="atLeast"/>
          <w:tblHeader w:val="0"/>
        </w:trPr>
        <w:tc>
          <w:tcPr>
            <w:vMerge w:val="continue"/>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2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1991</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2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1996</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2000</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2007</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2010</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3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2022</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São Pedro da Aldeia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50474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65072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63227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75869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87875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104029</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Cabo Frio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84750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115020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126828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162229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186227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222161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Arraial do Cabo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19865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21458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23877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25248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27715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30986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Armação dos Búzios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18204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24560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27560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40006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Araruama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65691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82803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98268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112008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129671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Iguaba Grande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15089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19716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22851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27920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Casimiro de Abreu</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20058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22152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27086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35347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46110</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6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Silva Jardim</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18140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19002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21265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21362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21349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21352</w:t>
            </w:r>
          </w:p>
        </w:tc>
      </w:tr>
      <w:tr>
        <w:trPr>
          <w:cantSplit w:val="0"/>
          <w:trHeight w:val="315" w:hRule="atLeast"/>
          <w:tblHeader w:val="0"/>
        </w:trPr>
        <w:tc>
          <w:tcPr>
            <w:gridSpan w:val="7"/>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4"/>
                <w:szCs w:val="24"/>
                <w:rtl w:val="0"/>
              </w:rPr>
              <w:t xml:space="preserve">Fonte: IBGE (2025)</w:t>
            </w:r>
            <w:r w:rsidDel="00000000" w:rsidR="00000000" w:rsidRPr="00000000">
              <w:rPr>
                <w:rtl w:val="0"/>
              </w:rPr>
            </w:r>
          </w:p>
        </w:tc>
      </w:tr>
    </w:tbl>
    <w:p w:rsidR="00000000" w:rsidDel="00000000" w:rsidP="00000000" w:rsidRDefault="00000000" w:rsidRPr="00000000" w14:paraId="00000073">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7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Tabela 2</w:t>
      </w:r>
      <w:r w:rsidDel="00000000" w:rsidR="00000000" w:rsidRPr="00000000">
        <w:rPr>
          <w:rFonts w:ascii="Times New Roman" w:cs="Times New Roman" w:eastAsia="Times New Roman" w:hAnsi="Times New Roman"/>
          <w:color w:val="000000"/>
          <w:sz w:val="24"/>
          <w:szCs w:val="24"/>
          <w:rtl w:val="0"/>
        </w:rPr>
        <w:t xml:space="preserve">. Valores de Geração Per Capita de RSU dos Municípios do Consórcio</w:t>
      </w:r>
    </w:p>
    <w:tbl>
      <w:tblPr>
        <w:tblStyle w:val="Table2"/>
        <w:tblW w:w="4820.0" w:type="dxa"/>
        <w:jc w:val="center"/>
        <w:tblLayout w:type="fixed"/>
        <w:tblLook w:val="0400"/>
      </w:tblPr>
      <w:tblGrid>
        <w:gridCol w:w="2410"/>
        <w:gridCol w:w="2410"/>
        <w:tblGridChange w:id="0">
          <w:tblGrid>
            <w:gridCol w:w="2410"/>
            <w:gridCol w:w="2410"/>
          </w:tblGrid>
        </w:tblGridChange>
      </w:tblGrid>
      <w:tr>
        <w:trPr>
          <w:cantSplit w:val="0"/>
          <w:trHeight w:val="315" w:hRule="atLeast"/>
          <w:tblHeader w:val="0"/>
        </w:trPr>
        <w:tc>
          <w:tcPr>
            <w:vMerge w:val="restart"/>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5">
            <w:pPr>
              <w:spacing w:after="0" w:line="240" w:lineRule="auto"/>
              <w:jc w:val="center"/>
              <w:rPr>
                <w:rFonts w:ascii="Times New Roman" w:cs="Times New Roman" w:eastAsia="Times New Roman" w:hAnsi="Times New Roman"/>
                <w:b w:val="1"/>
                <w:color w:val="000000"/>
                <w:sz w:val="24"/>
                <w:szCs w:val="24"/>
              </w:rPr>
            </w:pPr>
            <w:bookmarkStart w:colFirst="0" w:colLast="0" w:name="_heading=h.ypv6khc3q9e9" w:id="0"/>
            <w:bookmarkEnd w:id="0"/>
            <w:r w:rsidDel="00000000" w:rsidR="00000000" w:rsidRPr="00000000">
              <w:rPr>
                <w:rFonts w:ascii="Times New Roman" w:cs="Times New Roman" w:eastAsia="Times New Roman" w:hAnsi="Times New Roman"/>
                <w:b w:val="1"/>
                <w:color w:val="000000"/>
                <w:sz w:val="24"/>
                <w:szCs w:val="24"/>
                <w:rtl w:val="0"/>
              </w:rPr>
              <w:t xml:space="preserve">Município</w:t>
            </w:r>
          </w:p>
        </w:tc>
        <w:tc>
          <w:tcPr>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7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Geração Per Capita</w:t>
            </w:r>
          </w:p>
        </w:tc>
      </w:tr>
      <w:tr>
        <w:trPr>
          <w:cantSplit w:val="0"/>
          <w:trHeight w:val="315" w:hRule="atLeast"/>
          <w:tblHeader w:val="0"/>
        </w:trPr>
        <w:tc>
          <w:tcPr>
            <w:vMerge w:val="continue"/>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(kg/hab.dia)</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São Pedro da Aldeia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Cabo Frio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Arraial do Cabo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7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7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Armação dos Búzios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Araruama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Iguaba Grande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Casimiro de Abreu</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8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0,78</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8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Silva Jardim</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8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1,09</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Fonte: SNIS (2022)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8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8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3.2 Composição Gravimétrica dos RSU dos Municípios do Consórcio</w:t>
      </w:r>
    </w:p>
    <w:p w:rsidR="00000000" w:rsidDel="00000000" w:rsidP="00000000" w:rsidRDefault="00000000" w:rsidRPr="00000000" w14:paraId="0000008D">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quantidade de RSU é função do tamanho, da renda das famílias e das características socioculturais de cada município. Contudo, não são claras ou evidentes as relações entre a quantidade de RSU produzida e estes parâmetros. Talvez, mais claramente do que a produção, a composição média do RSU produzido guarda maior relação com o nível de vida ou a renda média da população. A Tabela 3 apresenta a composição gravimétrica adotada dos RSU dos municípios do consórcio obtidas a partir dos Planos Municipais de Saneamento Básico que serão adotadas para a construção dos Cenários I e II.</w:t>
      </w:r>
    </w:p>
    <w:p w:rsidR="00000000" w:rsidDel="00000000" w:rsidP="00000000" w:rsidRDefault="00000000" w:rsidRPr="00000000" w14:paraId="0000008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Tabela 3</w:t>
      </w:r>
      <w:r w:rsidDel="00000000" w:rsidR="00000000" w:rsidRPr="00000000">
        <w:rPr>
          <w:rFonts w:ascii="Times New Roman" w:cs="Times New Roman" w:eastAsia="Times New Roman" w:hAnsi="Times New Roman"/>
          <w:color w:val="000000"/>
          <w:sz w:val="24"/>
          <w:szCs w:val="24"/>
          <w:rtl w:val="0"/>
        </w:rPr>
        <w:t xml:space="preserve">. Composição Gravimétrica dos RSU dos Municípios do Consórcio</w:t>
      </w:r>
    </w:p>
    <w:tbl>
      <w:tblPr>
        <w:tblStyle w:val="Table3"/>
        <w:tblW w:w="9639.0" w:type="dxa"/>
        <w:jc w:val="center"/>
        <w:tblLayout w:type="fixed"/>
        <w:tblLook w:val="0400"/>
      </w:tblPr>
      <w:tblGrid>
        <w:gridCol w:w="1020"/>
        <w:gridCol w:w="1898"/>
        <w:gridCol w:w="2044"/>
        <w:gridCol w:w="1167"/>
        <w:gridCol w:w="1471"/>
        <w:gridCol w:w="2039"/>
        <w:tblGridChange w:id="0">
          <w:tblGrid>
            <w:gridCol w:w="1020"/>
            <w:gridCol w:w="1898"/>
            <w:gridCol w:w="2044"/>
            <w:gridCol w:w="1167"/>
            <w:gridCol w:w="1471"/>
            <w:gridCol w:w="2039"/>
          </w:tblGrid>
        </w:tblGridChange>
      </w:tblGrid>
      <w:tr>
        <w:trPr>
          <w:cantSplit w:val="0"/>
          <w:trHeight w:val="630"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8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Fração</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Componente</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Composição Gravimétrica (%)</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Fração</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Componente</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9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Composição Gravimétrica (%)</w:t>
            </w:r>
          </w:p>
        </w:tc>
      </w:tr>
      <w:tr>
        <w:trPr>
          <w:cantSplit w:val="0"/>
          <w:trHeight w:val="315" w:hRule="atLeast"/>
          <w:tblHeader w:val="0"/>
        </w:trPr>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Orgânica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Matéria Orgânica</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51,4</w:t>
            </w:r>
          </w:p>
        </w:tc>
        <w:tc>
          <w:tcPr>
            <w:vMerge w:val="restart"/>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Inorgânica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9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Papel/Papelão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Alumínio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w:t>
            </w:r>
          </w:p>
        </w:tc>
      </w:tr>
      <w:tr>
        <w:trPr>
          <w:cantSplit w:val="0"/>
          <w:trHeight w:val="315" w:hRule="atLeast"/>
          <w:tblHeader w:val="0"/>
        </w:trPr>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Plástico Filme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Aço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w:t>
            </w:r>
          </w:p>
        </w:tc>
      </w:tr>
      <w:tr>
        <w:trPr>
          <w:cantSplit w:val="0"/>
          <w:trHeight w:val="315" w:hRule="atLeast"/>
          <w:tblHeader w:val="0"/>
        </w:trPr>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Plástico Rígido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Vidro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A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r>
      <w:tr>
        <w:trPr>
          <w:cantSplit w:val="0"/>
          <w:trHeight w:val="315" w:hRule="atLeast"/>
          <w:tblHeader w:val="0"/>
        </w:trPr>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A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Outros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A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16,7</w:t>
            </w:r>
          </w:p>
        </w:tc>
        <w:tc>
          <w:tcPr>
            <w:vMerge w:val="continue"/>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B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gridSpan w:val="6"/>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B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Fonte: Serenco, 2013</w:t>
            </w:r>
          </w:p>
        </w:tc>
      </w:tr>
    </w:tbl>
    <w:p w:rsidR="00000000" w:rsidDel="00000000" w:rsidP="00000000" w:rsidRDefault="00000000" w:rsidRPr="00000000" w14:paraId="000000B9">
      <w:pP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A">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3.3 Estimativas de Produção de Metano </w:t>
      </w:r>
    </w:p>
    <w:p w:rsidR="00000000" w:rsidDel="00000000" w:rsidP="00000000" w:rsidRDefault="00000000" w:rsidRPr="00000000" w14:paraId="000000BB">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o cálculo do potencial de geração de metano no aterro foi utilizada a metodologia sugerida pelo </w:t>
      </w:r>
      <w:r w:rsidDel="00000000" w:rsidR="00000000" w:rsidRPr="00000000">
        <w:rPr>
          <w:rFonts w:ascii="Times New Roman" w:cs="Times New Roman" w:eastAsia="Times New Roman" w:hAnsi="Times New Roman"/>
          <w:i w:val="1"/>
          <w:sz w:val="24"/>
          <w:szCs w:val="24"/>
          <w:rtl w:val="0"/>
        </w:rPr>
        <w:t xml:space="preserve">Intergovernmental Panel on Climate Change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IPCC (2006) a partir de dados obtidos e estimados dos RSU. A metodologia do IPCC para estimar as emissões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de aterros é baseado no método de Degradação de Primeira Ordem (FOD). Este método assume que o componente orgânico degradável (carbono orgânico degradável, DOC) dos resíduos decai lentamente ao longo de algumas décadas, durante o qual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e CO</w:t>
      </w:r>
      <w:r w:rsidDel="00000000" w:rsidR="00000000" w:rsidRPr="00000000">
        <w:rPr>
          <w:rFonts w:ascii="Times New Roman" w:cs="Times New Roman" w:eastAsia="Times New Roman" w:hAnsi="Times New Roman"/>
          <w:color w:val="000000"/>
          <w:sz w:val="24"/>
          <w:szCs w:val="24"/>
          <w:vertAlign w:val="subscript"/>
          <w:rtl w:val="0"/>
        </w:rPr>
        <w:t xml:space="preserve">2</w:t>
      </w:r>
      <w:r w:rsidDel="00000000" w:rsidR="00000000" w:rsidRPr="00000000">
        <w:rPr>
          <w:rFonts w:ascii="Times New Roman" w:cs="Times New Roman" w:eastAsia="Times New Roman" w:hAnsi="Times New Roman"/>
          <w:color w:val="000000"/>
          <w:sz w:val="24"/>
          <w:szCs w:val="24"/>
          <w:rtl w:val="0"/>
        </w:rPr>
        <w:t xml:space="preserve"> são formados. Se as condições são constantes, a taxa de produção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depende unicamente da quantidade de carbono remanescente nos resíduos. Como as emissões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são resultantes dos resíduos sólidos depositados nos aterros, nos primeiros anos após a deposição, a geração é alta, com o declínio de carbono degradável no resíduo ao longo dos anos pelas bactérias, ou seja, as emissões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decaem gradativamente. </w:t>
      </w:r>
    </w:p>
    <w:p w:rsidR="00000000" w:rsidDel="00000000" w:rsidP="00000000" w:rsidRDefault="00000000" w:rsidRPr="00000000" w14:paraId="000000BC">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o cálculo da estimativa do potencial de emissão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proveniente do Aterro Sanitário de Dois Arcos foi utilizada a metodologia do IPCC (2006) a partir de dados obtidos e estimados dos RSU dos municípios que fazem parte do consórcio. Portanto, têm-se as seguintes equações:</w:t>
      </w:r>
    </w:p>
    <w:p w:rsidR="00000000" w:rsidDel="00000000" w:rsidP="00000000" w:rsidRDefault="00000000" w:rsidRPr="00000000" w14:paraId="000000BD">
      <w:pPr>
        <w:spacing w:line="360" w:lineRule="auto"/>
        <w:jc w:val="both"/>
        <w:rPr>
          <w:rFonts w:ascii="Times New Roman" w:cs="Times New Roman" w:eastAsia="Times New Roman" w:hAnsi="Times New Roman"/>
          <w:color w:val="000000"/>
          <w:sz w:val="24"/>
          <w:szCs w:val="24"/>
        </w:rPr>
      </w:pPr>
      <m:oMath>
        <m:sSub>
          <m:sSubPr>
            <m:ctrlPr>
              <w:rPr>
                <w:rFonts w:ascii="Cambria Math" w:cs="Cambria Math" w:eastAsia="Cambria Math" w:hAnsi="Cambria Math"/>
                <w:color w:val="000000"/>
                <w:sz w:val="24"/>
                <w:szCs w:val="24"/>
              </w:rPr>
            </m:ctrlPr>
          </m:sSubPr>
          <m:e>
            <m:r>
              <w:rPr>
                <w:rFonts w:ascii="Cambria Math" w:cs="Cambria Math" w:eastAsia="Cambria Math" w:hAnsi="Cambria Math"/>
                <w:color w:val="000000"/>
                <w:sz w:val="24"/>
                <w:szCs w:val="24"/>
              </w:rPr>
              <m:t xml:space="preserve">DDOC</m:t>
            </m:r>
          </m:e>
          <m:sub>
            <m:r>
              <w:rPr>
                <w:rFonts w:ascii="Cambria Math" w:cs="Cambria Math" w:eastAsia="Cambria Math" w:hAnsi="Cambria Math"/>
                <w:color w:val="000000"/>
                <w:sz w:val="24"/>
                <w:szCs w:val="24"/>
              </w:rPr>
              <m:t xml:space="preserve">m</m:t>
            </m:r>
          </m:sub>
        </m:sSub>
        <m:r>
          <w:rPr>
            <w:rFonts w:ascii="Cambria Math" w:cs="Cambria Math" w:eastAsia="Cambria Math" w:hAnsi="Cambria Math"/>
            <w:color w:val="000000"/>
            <w:sz w:val="24"/>
            <w:szCs w:val="24"/>
          </w:rPr>
          <m:t xml:space="preserve">=W.DOC.</m:t>
        </m:r>
        <m:sSub>
          <m:sSubPr>
            <m:ctrlPr>
              <w:rPr>
                <w:rFonts w:ascii="Cambria Math" w:cs="Cambria Math" w:eastAsia="Cambria Math" w:hAnsi="Cambria Math"/>
                <w:color w:val="000000"/>
                <w:sz w:val="24"/>
                <w:szCs w:val="24"/>
              </w:rPr>
            </m:ctrlPr>
          </m:sSubPr>
          <m:e>
            <m:r>
              <w:rPr>
                <w:rFonts w:ascii="Cambria Math" w:cs="Cambria Math" w:eastAsia="Cambria Math" w:hAnsi="Cambria Math"/>
                <w:color w:val="000000"/>
                <w:sz w:val="24"/>
                <w:szCs w:val="24"/>
              </w:rPr>
              <m:t xml:space="preserve">DOC</m:t>
            </m:r>
          </m:e>
          <m:sub>
            <m:r>
              <w:rPr>
                <w:rFonts w:ascii="Cambria Math" w:cs="Cambria Math" w:eastAsia="Cambria Math" w:hAnsi="Cambria Math"/>
                <w:color w:val="000000"/>
                <w:sz w:val="24"/>
                <w:szCs w:val="24"/>
              </w:rPr>
              <m:t xml:space="preserve">f</m:t>
            </m:r>
          </m:sub>
        </m:sSub>
        <m:r>
          <w:rPr>
            <w:rFonts w:ascii="Cambria Math" w:cs="Cambria Math" w:eastAsia="Cambria Math" w:hAnsi="Cambria Math"/>
            <w:color w:val="000000"/>
            <w:sz w:val="24"/>
            <w:szCs w:val="24"/>
          </w:rPr>
          <m:t xml:space="preserve">.MCF</m:t>
        </m:r>
      </m:oMath>
      <w:r w:rsidDel="00000000" w:rsidR="00000000" w:rsidRPr="00000000">
        <w:rPr>
          <w:rFonts w:ascii="Times New Roman" w:cs="Times New Roman" w:eastAsia="Times New Roman" w:hAnsi="Times New Roman"/>
          <w:color w:val="000000"/>
          <w:sz w:val="24"/>
          <w:szCs w:val="24"/>
          <w:rtl w:val="0"/>
        </w:rPr>
        <w:t xml:space="preserve">                                                                                                                            (2)</w:t>
      </w:r>
    </w:p>
    <w:p w:rsidR="00000000" w:rsidDel="00000000" w:rsidP="00000000" w:rsidRDefault="00000000" w:rsidRPr="00000000" w14:paraId="000000BE">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Onde: </w:t>
      </w:r>
      <w:r w:rsidDel="00000000" w:rsidR="00000000" w:rsidRPr="00000000">
        <w:rPr>
          <w:rFonts w:ascii="Times New Roman" w:cs="Times New Roman" w:eastAsia="Times New Roman" w:hAnsi="Times New Roman"/>
          <w:color w:val="000000"/>
          <w:rtl w:val="0"/>
        </w:rPr>
        <w:t xml:space="preserve">DDOC</w:t>
      </w:r>
      <w:r w:rsidDel="00000000" w:rsidR="00000000" w:rsidRPr="00000000">
        <w:rPr>
          <w:rFonts w:ascii="Times New Roman" w:cs="Times New Roman" w:eastAsia="Times New Roman" w:hAnsi="Times New Roman"/>
          <w:color w:val="000000"/>
          <w:vertAlign w:val="subscript"/>
          <w:rtl w:val="0"/>
        </w:rPr>
        <w:t xml:space="preserve">m</w:t>
      </w:r>
      <w:r w:rsidDel="00000000" w:rsidR="00000000" w:rsidRPr="00000000">
        <w:rPr>
          <w:rFonts w:ascii="Times New Roman" w:cs="Times New Roman" w:eastAsia="Times New Roman" w:hAnsi="Times New Roman"/>
          <w:color w:val="000000"/>
          <w:rtl w:val="0"/>
        </w:rPr>
        <w:t xml:space="preserve"> é a massa de DOC decomposto depositado (t); W é a massa de resíduos depositados (t); DOC é o carbono orgânico degradável no ano de deposição (fração); DOC</w:t>
      </w:r>
      <w:r w:rsidDel="00000000" w:rsidR="00000000" w:rsidRPr="00000000">
        <w:rPr>
          <w:rFonts w:ascii="Times New Roman" w:cs="Times New Roman" w:eastAsia="Times New Roman" w:hAnsi="Times New Roman"/>
          <w:color w:val="000000"/>
          <w:vertAlign w:val="subscript"/>
          <w:rtl w:val="0"/>
        </w:rPr>
        <w:t xml:space="preserve">f</w:t>
      </w:r>
      <w:r w:rsidDel="00000000" w:rsidR="00000000" w:rsidRPr="00000000">
        <w:rPr>
          <w:rFonts w:ascii="Times New Roman" w:cs="Times New Roman" w:eastAsia="Times New Roman" w:hAnsi="Times New Roman"/>
          <w:color w:val="000000"/>
          <w:rtl w:val="0"/>
        </w:rPr>
        <w:t xml:space="preserve"> é a fração de DOC que pode se decompor (fração); e MCF é o fator de correção de CH</w:t>
      </w:r>
      <w:r w:rsidDel="00000000" w:rsidR="00000000" w:rsidRPr="00000000">
        <w:rPr>
          <w:rFonts w:ascii="Times New Roman" w:cs="Times New Roman" w:eastAsia="Times New Roman" w:hAnsi="Times New Roman"/>
          <w:color w:val="000000"/>
          <w:vertAlign w:val="subscript"/>
          <w:rtl w:val="0"/>
        </w:rPr>
        <w:t xml:space="preserve">4</w:t>
      </w:r>
      <w:r w:rsidDel="00000000" w:rsidR="00000000" w:rsidRPr="00000000">
        <w:rPr>
          <w:rFonts w:ascii="Times New Roman" w:cs="Times New Roman" w:eastAsia="Times New Roman" w:hAnsi="Times New Roman"/>
          <w:color w:val="000000"/>
          <w:rtl w:val="0"/>
        </w:rPr>
        <w:t xml:space="preserve"> para a decomposição aeróbia no ano de deposição (1,0 para aterros bem gerenciados).</w:t>
      </w:r>
    </w:p>
    <w:p w:rsidR="00000000" w:rsidDel="00000000" w:rsidP="00000000" w:rsidRDefault="00000000" w:rsidRPr="00000000" w14:paraId="000000BF">
      <w:pPr>
        <w:spacing w:line="360" w:lineRule="auto"/>
        <w:jc w:val="both"/>
        <w:rPr>
          <w:rFonts w:ascii="Times New Roman" w:cs="Times New Roman" w:eastAsia="Times New Roman" w:hAnsi="Times New Roman"/>
          <w:color w:val="000000"/>
        </w:rPr>
      </w:pPr>
      <m:oMath>
        <m:r>
          <w:rPr>
            <w:rFonts w:ascii="Cambria Math" w:cs="Cambria Math" w:eastAsia="Cambria Math" w:hAnsi="Cambria Math"/>
            <w:color w:val="000000"/>
            <w:sz w:val="24"/>
            <w:szCs w:val="24"/>
          </w:rPr>
          <m:t xml:space="preserve">DOC=0,4A+0,17B+0,15C+0,3D</m:t>
        </m:r>
      </m:oMath>
      <w:r w:rsidDel="00000000" w:rsidR="00000000" w:rsidRPr="00000000">
        <w:rPr>
          <w:rFonts w:ascii="Times New Roman" w:cs="Times New Roman" w:eastAsia="Times New Roman" w:hAnsi="Times New Roman"/>
          <w:color w:val="000000"/>
          <w:sz w:val="24"/>
          <w:szCs w:val="24"/>
          <w:rtl w:val="0"/>
        </w:rPr>
        <w:t xml:space="preserve">                                                                                                                (3)</w:t>
      </w:r>
      <w:r w:rsidDel="00000000" w:rsidR="00000000" w:rsidRPr="00000000">
        <w:rPr>
          <w:rtl w:val="0"/>
        </w:rPr>
      </w:r>
    </w:p>
    <w:p w:rsidR="00000000" w:rsidDel="00000000" w:rsidP="00000000" w:rsidRDefault="00000000" w:rsidRPr="00000000" w14:paraId="000000C0">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função das grandes quantidades de alimentos e resíduos orgânicos que são depositados juntos, a Equação 3 foi modificada para:</w:t>
      </w:r>
    </w:p>
    <w:p w:rsidR="00000000" w:rsidDel="00000000" w:rsidP="00000000" w:rsidRDefault="00000000" w:rsidRPr="00000000" w14:paraId="000000C1">
      <w:pPr>
        <w:spacing w:line="360" w:lineRule="auto"/>
        <w:jc w:val="both"/>
        <w:rPr>
          <w:rFonts w:ascii="Times New Roman" w:cs="Times New Roman" w:eastAsia="Times New Roman" w:hAnsi="Times New Roman"/>
          <w:color w:val="000000"/>
          <w:sz w:val="24"/>
          <w:szCs w:val="24"/>
        </w:rPr>
      </w:pPr>
      <m:oMath>
        <m:r>
          <w:rPr>
            <w:rFonts w:ascii="Cambria Math" w:cs="Cambria Math" w:eastAsia="Cambria Math" w:hAnsi="Cambria Math"/>
            <w:color w:val="000000"/>
            <w:sz w:val="24"/>
            <w:szCs w:val="24"/>
          </w:rPr>
          <m:t xml:space="preserve">DOC=0,4A+0,16(B+C)+0,3D</m:t>
        </m:r>
      </m:oMath>
      <w:r w:rsidDel="00000000" w:rsidR="00000000" w:rsidRPr="00000000">
        <w:rPr>
          <w:rFonts w:ascii="Times New Roman" w:cs="Times New Roman" w:eastAsia="Times New Roman" w:hAnsi="Times New Roman"/>
          <w:color w:val="000000"/>
          <w:sz w:val="24"/>
          <w:szCs w:val="24"/>
          <w:rtl w:val="0"/>
        </w:rPr>
        <w:t xml:space="preserve">                                                                                                                     (4)</w:t>
      </w:r>
    </w:p>
    <w:p w:rsidR="00000000" w:rsidDel="00000000" w:rsidP="00000000" w:rsidRDefault="00000000" w:rsidRPr="00000000" w14:paraId="000000C2">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Onde: A é a fração de papel/papelão e tecidos; B+C é a fração de alimentos e outros resíduos orgânicos; e D é a fração de resíduos de madeira. </w:t>
      </w:r>
    </w:p>
    <w:p w:rsidR="00000000" w:rsidDel="00000000" w:rsidP="00000000" w:rsidRDefault="00000000" w:rsidRPr="00000000" w14:paraId="000000C3">
      <w:pPr>
        <w:spacing w:line="360" w:lineRule="auto"/>
        <w:jc w:val="both"/>
        <w:rPr>
          <w:rFonts w:ascii="Times New Roman" w:cs="Times New Roman" w:eastAsia="Times New Roman" w:hAnsi="Times New Roman"/>
          <w:color w:val="000000"/>
          <w:sz w:val="24"/>
          <w:szCs w:val="24"/>
        </w:rPr>
      </w:pPr>
      <m:oMath>
        <m:sSub>
          <m:sSubPr>
            <m:ctrlPr>
              <w:rPr>
                <w:rFonts w:ascii="Cambria Math" w:cs="Cambria Math" w:eastAsia="Cambria Math" w:hAnsi="Cambria Math"/>
                <w:color w:val="000000"/>
                <w:sz w:val="24"/>
                <w:szCs w:val="24"/>
              </w:rPr>
            </m:ctrlPr>
          </m:sSubPr>
          <m:e>
            <m:r>
              <w:rPr>
                <w:rFonts w:ascii="Cambria Math" w:cs="Cambria Math" w:eastAsia="Cambria Math" w:hAnsi="Cambria Math"/>
                <w:color w:val="000000"/>
                <w:sz w:val="24"/>
                <w:szCs w:val="24"/>
              </w:rPr>
              <m:t xml:space="preserve">DOC</m:t>
            </m:r>
          </m:e>
          <m:sub>
            <m:r>
              <w:rPr>
                <w:rFonts w:ascii="Cambria Math" w:cs="Cambria Math" w:eastAsia="Cambria Math" w:hAnsi="Cambria Math"/>
                <w:color w:val="000000"/>
                <w:sz w:val="24"/>
                <w:szCs w:val="24"/>
              </w:rPr>
              <m:t xml:space="preserve">f</m:t>
            </m:r>
          </m:sub>
        </m:sSub>
        <m:r>
          <w:rPr>
            <w:rFonts w:ascii="Cambria Math" w:cs="Cambria Math" w:eastAsia="Cambria Math" w:hAnsi="Cambria Math"/>
            <w:color w:val="000000"/>
            <w:sz w:val="24"/>
            <w:szCs w:val="24"/>
          </w:rPr>
          <m:t xml:space="preserve">=0,014T+0,28</m:t>
        </m:r>
      </m:oMath>
      <w:r w:rsidDel="00000000" w:rsidR="00000000" w:rsidRPr="00000000">
        <w:rPr>
          <w:rFonts w:ascii="Times New Roman" w:cs="Times New Roman" w:eastAsia="Times New Roman" w:hAnsi="Times New Roman"/>
          <w:color w:val="000000"/>
          <w:sz w:val="24"/>
          <w:szCs w:val="24"/>
          <w:rtl w:val="0"/>
        </w:rPr>
        <w:t xml:space="preserve">                                                                                                                                         (5)</w:t>
      </w:r>
    </w:p>
    <w:p w:rsidR="00000000" w:rsidDel="00000000" w:rsidP="00000000" w:rsidRDefault="00000000" w:rsidRPr="00000000" w14:paraId="000000C4">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Onde: T é a temperatura (ºC) na zona anaeróbia dos resíduos (estimada em 35º C).</w:t>
      </w:r>
    </w:p>
    <w:p w:rsidR="00000000" w:rsidDel="00000000" w:rsidP="00000000" w:rsidRDefault="00000000" w:rsidRPr="00000000" w14:paraId="000000C5">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Equação 6 mostra o cálculo para obtenção da massa de DOC acumulado ao final de cada instante t no aterro, ao longo dos anos e a Equação 7 a massa total de material em decomposição, em cada instante t, presente no aterro.</w:t>
      </w:r>
    </w:p>
    <w:p w:rsidR="00000000" w:rsidDel="00000000" w:rsidP="00000000" w:rsidRDefault="00000000" w:rsidRPr="00000000" w14:paraId="000000C6">
      <w:pPr>
        <w:spacing w:line="360" w:lineRule="auto"/>
        <w:jc w:val="both"/>
        <w:rPr>
          <w:rFonts w:ascii="Times New Roman" w:cs="Times New Roman" w:eastAsia="Times New Roman" w:hAnsi="Times New Roman"/>
          <w:color w:val="000000"/>
        </w:rPr>
      </w:pPr>
      <m:oMath>
        <m:r>
          <w:rPr>
            <w:rFonts w:ascii="Cambria Math" w:cs="Cambria Math" w:eastAsia="Cambria Math" w:hAnsi="Cambria Math"/>
            <w:color w:val="000000"/>
          </w:rPr>
          <m:t xml:space="preserve">DDOC</m:t>
        </m:r>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ma</m:t>
            </m:r>
          </m:e>
          <m:sub>
            <m:r>
              <w:rPr>
                <w:rFonts w:ascii="Cambria Math" w:cs="Cambria Math" w:eastAsia="Cambria Math" w:hAnsi="Cambria Math"/>
                <w:color w:val="000000"/>
              </w:rPr>
              <m:t xml:space="preserve">T</m:t>
            </m:r>
          </m:sub>
        </m:sSub>
        <m:r>
          <w:rPr>
            <w:rFonts w:ascii="Cambria Math" w:cs="Cambria Math" w:eastAsia="Cambria Math" w:hAnsi="Cambria Math"/>
            <w:color w:val="000000"/>
          </w:rPr>
          <m:t xml:space="preserve">=DDOCm+(DDOC</m:t>
        </m:r>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ma</m:t>
            </m:r>
          </m:e>
          <m:sub>
            <m:r>
              <w:rPr>
                <w:rFonts w:ascii="Cambria Math" w:cs="Cambria Math" w:eastAsia="Cambria Math" w:hAnsi="Cambria Math"/>
                <w:color w:val="000000"/>
              </w:rPr>
              <m:t xml:space="preserve">T-1</m:t>
            </m:r>
          </m:sub>
        </m:sSub>
        <m:r>
          <w:rPr>
            <w:rFonts w:ascii="Cambria Math" w:cs="Cambria Math" w:eastAsia="Cambria Math" w:hAnsi="Cambria Math"/>
            <w:color w:val="000000"/>
          </w:rPr>
          <m:t xml:space="preserve">.</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e</m:t>
            </m:r>
          </m:e>
          <m:sup>
            <m:r>
              <w:rPr>
                <w:rFonts w:ascii="Cambria Math" w:cs="Cambria Math" w:eastAsia="Cambria Math" w:hAnsi="Cambria Math"/>
                <w:color w:val="000000"/>
              </w:rPr>
              <m:t xml:space="preserve">-k</m:t>
            </m:r>
          </m:sup>
        </m:sSup>
        <m:r>
          <w:rPr>
            <w:rFonts w:ascii="Cambria Math" w:cs="Cambria Math" w:eastAsia="Cambria Math" w:hAnsi="Cambria Math"/>
            <w:color w:val="000000"/>
          </w:rPr>
          <m:t xml:space="preserve">)</m:t>
        </m:r>
      </m:oMath>
      <w:r w:rsidDel="00000000" w:rsidR="00000000" w:rsidRPr="00000000">
        <w:rPr>
          <w:rFonts w:ascii="Times New Roman" w:cs="Times New Roman" w:eastAsia="Times New Roman" w:hAnsi="Times New Roman"/>
          <w:color w:val="000000"/>
          <w:rtl w:val="0"/>
        </w:rPr>
        <w:t xml:space="preserve">                                                                                                                       (6)</w:t>
      </w:r>
    </w:p>
    <w:p w:rsidR="00000000" w:rsidDel="00000000" w:rsidP="00000000" w:rsidRDefault="00000000" w:rsidRPr="00000000" w14:paraId="000000C7">
      <w:pPr>
        <w:spacing w:line="360" w:lineRule="auto"/>
        <w:jc w:val="both"/>
        <w:rPr>
          <w:rFonts w:ascii="Times New Roman" w:cs="Times New Roman" w:eastAsia="Times New Roman" w:hAnsi="Times New Roman"/>
          <w:color w:val="000000"/>
        </w:rPr>
      </w:pPr>
      <m:oMath>
        <m:r>
          <w:rPr>
            <w:rFonts w:ascii="Cambria Math" w:cs="Cambria Math" w:eastAsia="Cambria Math" w:hAnsi="Cambria Math"/>
            <w:color w:val="000000"/>
          </w:rPr>
          <m:t xml:space="preserve">DDOC</m:t>
        </m:r>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m decomp</m:t>
            </m:r>
          </m:e>
          <m:sub>
            <m:r>
              <w:rPr>
                <w:rFonts w:ascii="Cambria Math" w:cs="Cambria Math" w:eastAsia="Cambria Math" w:hAnsi="Cambria Math"/>
                <w:color w:val="000000"/>
              </w:rPr>
              <m:t xml:space="preserve">T</m:t>
            </m:r>
          </m:sub>
        </m:sSub>
        <m:r>
          <w:rPr>
            <w:rFonts w:ascii="Cambria Math" w:cs="Cambria Math" w:eastAsia="Cambria Math" w:hAnsi="Cambria Math"/>
            <w:color w:val="000000"/>
          </w:rPr>
          <m:t xml:space="preserve">=DDOC</m:t>
        </m:r>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ma</m:t>
            </m:r>
          </m:e>
          <m:sub>
            <m:r>
              <w:rPr>
                <w:rFonts w:ascii="Cambria Math" w:cs="Cambria Math" w:eastAsia="Cambria Math" w:hAnsi="Cambria Math"/>
                <w:color w:val="000000"/>
              </w:rPr>
              <m:t xml:space="preserve">T-1</m:t>
            </m:r>
          </m:sub>
        </m:sSub>
        <m:r>
          <w:rPr>
            <w:rFonts w:ascii="Cambria Math" w:cs="Cambria Math" w:eastAsia="Cambria Math" w:hAnsi="Cambria Math"/>
            <w:color w:val="000000"/>
          </w:rPr>
          <m:t xml:space="preserve">.</m:t>
        </m:r>
        <m:sSup>
          <m:sSupPr>
            <m:ctrlPr>
              <w:rPr>
                <w:rFonts w:ascii="Cambria Math" w:cs="Cambria Math" w:eastAsia="Cambria Math" w:hAnsi="Cambria Math"/>
                <w:color w:val="000000"/>
              </w:rPr>
            </m:ctrlPr>
          </m:sSupPr>
          <m:e>
            <m:r>
              <w:rPr>
                <w:rFonts w:ascii="Cambria Math" w:cs="Cambria Math" w:eastAsia="Cambria Math" w:hAnsi="Cambria Math"/>
                <w:color w:val="000000"/>
              </w:rPr>
              <m:t xml:space="preserve">(1-e</m:t>
            </m:r>
          </m:e>
          <m:sup>
            <m:r>
              <w:rPr>
                <w:rFonts w:ascii="Cambria Math" w:cs="Cambria Math" w:eastAsia="Cambria Math" w:hAnsi="Cambria Math"/>
                <w:color w:val="000000"/>
              </w:rPr>
              <m:t xml:space="preserve">-k</m:t>
            </m:r>
          </m:sup>
        </m:sSup>
        <m:r>
          <w:rPr>
            <w:rFonts w:ascii="Cambria Math" w:cs="Cambria Math" w:eastAsia="Cambria Math" w:hAnsi="Cambria Math"/>
            <w:color w:val="000000"/>
          </w:rPr>
          <m:t xml:space="preserve">)</m:t>
        </m:r>
      </m:oMath>
      <w:r w:rsidDel="00000000" w:rsidR="00000000" w:rsidRPr="00000000">
        <w:rPr>
          <w:rFonts w:ascii="Times New Roman" w:cs="Times New Roman" w:eastAsia="Times New Roman" w:hAnsi="Times New Roman"/>
          <w:color w:val="000000"/>
          <w:rtl w:val="0"/>
        </w:rPr>
        <w:t xml:space="preserve">                                                                                                                     (7)</w:t>
      </w:r>
    </w:p>
    <w:p w:rsidR="00000000" w:rsidDel="00000000" w:rsidP="00000000" w:rsidRDefault="00000000" w:rsidRPr="00000000" w14:paraId="000000C8">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Onde: T é o ano do inventário; DDOC</w:t>
      </w:r>
      <w:r w:rsidDel="00000000" w:rsidR="00000000" w:rsidRPr="00000000">
        <w:rPr>
          <w:rFonts w:ascii="Times New Roman" w:cs="Times New Roman" w:eastAsia="Times New Roman" w:hAnsi="Times New Roman"/>
          <w:color w:val="000000"/>
          <w:vertAlign w:val="subscript"/>
          <w:rtl w:val="0"/>
        </w:rPr>
        <w:t xml:space="preserve">maT</w:t>
      </w:r>
      <w:r w:rsidDel="00000000" w:rsidR="00000000" w:rsidRPr="00000000">
        <w:rPr>
          <w:rFonts w:ascii="Times New Roman" w:cs="Times New Roman" w:eastAsia="Times New Roman" w:hAnsi="Times New Roman"/>
          <w:color w:val="000000"/>
          <w:rtl w:val="0"/>
        </w:rPr>
        <w:t xml:space="preserve"> = DDOC</w:t>
      </w:r>
      <w:r w:rsidDel="00000000" w:rsidR="00000000" w:rsidRPr="00000000">
        <w:rPr>
          <w:rFonts w:ascii="Times New Roman" w:cs="Times New Roman" w:eastAsia="Times New Roman" w:hAnsi="Times New Roman"/>
          <w:color w:val="000000"/>
          <w:vertAlign w:val="subscript"/>
          <w:rtl w:val="0"/>
        </w:rPr>
        <w:t xml:space="preserve">m </w:t>
      </w:r>
      <w:r w:rsidDel="00000000" w:rsidR="00000000" w:rsidRPr="00000000">
        <w:rPr>
          <w:rFonts w:ascii="Times New Roman" w:cs="Times New Roman" w:eastAsia="Times New Roman" w:hAnsi="Times New Roman"/>
          <w:color w:val="000000"/>
          <w:rtl w:val="0"/>
        </w:rPr>
        <w:t xml:space="preserve">acumulado no </w:t>
      </w:r>
      <w:r w:rsidDel="00000000" w:rsidR="00000000" w:rsidRPr="00000000">
        <w:rPr>
          <w:rFonts w:ascii="Times New Roman" w:cs="Times New Roman" w:eastAsia="Times New Roman" w:hAnsi="Times New Roman"/>
          <w:color w:val="000000"/>
          <w:sz w:val="24"/>
          <w:szCs w:val="24"/>
          <w:rtl w:val="0"/>
        </w:rPr>
        <w:t xml:space="preserve">aterro </w:t>
      </w:r>
      <w:r w:rsidDel="00000000" w:rsidR="00000000" w:rsidRPr="00000000">
        <w:rPr>
          <w:rFonts w:ascii="Times New Roman" w:cs="Times New Roman" w:eastAsia="Times New Roman" w:hAnsi="Times New Roman"/>
          <w:color w:val="000000"/>
          <w:rtl w:val="0"/>
        </w:rPr>
        <w:t xml:space="preserve">no final do anoT (t); DDOC</w:t>
      </w:r>
      <w:r w:rsidDel="00000000" w:rsidR="00000000" w:rsidRPr="00000000">
        <w:rPr>
          <w:rFonts w:ascii="Times New Roman" w:cs="Times New Roman" w:eastAsia="Times New Roman" w:hAnsi="Times New Roman"/>
          <w:color w:val="000000"/>
          <w:vertAlign w:val="subscript"/>
          <w:rtl w:val="0"/>
        </w:rPr>
        <w:t xml:space="preserve">maT</w:t>
      </w:r>
      <w:r w:rsidDel="00000000" w:rsidR="00000000" w:rsidRPr="00000000">
        <w:rPr>
          <w:rFonts w:ascii="Times New Roman" w:cs="Times New Roman" w:eastAsia="Times New Roman" w:hAnsi="Times New Roman"/>
          <w:color w:val="000000"/>
          <w:sz w:val="24"/>
          <w:szCs w:val="24"/>
          <w:vertAlign w:val="subscript"/>
          <w:rtl w:val="0"/>
        </w:rPr>
        <w:t xml:space="preserve">-1</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color w:val="000000"/>
          <w:rtl w:val="0"/>
        </w:rPr>
        <w:t xml:space="preserve">DDOC</w:t>
      </w:r>
      <w:r w:rsidDel="00000000" w:rsidR="00000000" w:rsidRPr="00000000">
        <w:rPr>
          <w:rFonts w:ascii="Times New Roman" w:cs="Times New Roman" w:eastAsia="Times New Roman" w:hAnsi="Times New Roman"/>
          <w:color w:val="000000"/>
          <w:vertAlign w:val="subscript"/>
          <w:rtl w:val="0"/>
        </w:rPr>
        <w:t xml:space="preserve">m</w:t>
      </w:r>
      <w:r w:rsidDel="00000000" w:rsidR="00000000" w:rsidRPr="00000000">
        <w:rPr>
          <w:rFonts w:ascii="Times New Roman" w:cs="Times New Roman" w:eastAsia="Times New Roman" w:hAnsi="Times New Roman"/>
          <w:color w:val="000000"/>
          <w:rtl w:val="0"/>
        </w:rPr>
        <w:t xml:space="preserve"> acumulado no </w:t>
      </w:r>
      <w:r w:rsidDel="00000000" w:rsidR="00000000" w:rsidRPr="00000000">
        <w:rPr>
          <w:rFonts w:ascii="Times New Roman" w:cs="Times New Roman" w:eastAsia="Times New Roman" w:hAnsi="Times New Roman"/>
          <w:color w:val="000000"/>
          <w:sz w:val="24"/>
          <w:szCs w:val="24"/>
          <w:rtl w:val="0"/>
        </w:rPr>
        <w:t xml:space="preserve">aterro </w:t>
      </w:r>
      <w:r w:rsidDel="00000000" w:rsidR="00000000" w:rsidRPr="00000000">
        <w:rPr>
          <w:rFonts w:ascii="Times New Roman" w:cs="Times New Roman" w:eastAsia="Times New Roman" w:hAnsi="Times New Roman"/>
          <w:color w:val="000000"/>
          <w:rtl w:val="0"/>
        </w:rPr>
        <w:t xml:space="preserve">no final do ano (</w:t>
      </w:r>
      <w:r w:rsidDel="00000000" w:rsidR="00000000" w:rsidRPr="00000000">
        <w:rPr>
          <w:rFonts w:ascii="Times New Roman" w:cs="Times New Roman" w:eastAsia="Times New Roman" w:hAnsi="Times New Roman"/>
          <w:color w:val="000000"/>
          <w:sz w:val="24"/>
          <w:szCs w:val="24"/>
          <w:rtl w:val="0"/>
        </w:rPr>
        <w:t xml:space="preserve">T-1) (t); </w:t>
      </w:r>
      <w:r w:rsidDel="00000000" w:rsidR="00000000" w:rsidRPr="00000000">
        <w:rPr>
          <w:rFonts w:ascii="Times New Roman" w:cs="Times New Roman" w:eastAsia="Times New Roman" w:hAnsi="Times New Roman"/>
          <w:color w:val="000000"/>
          <w:rtl w:val="0"/>
        </w:rPr>
        <w:t xml:space="preserve">DDOC</w:t>
      </w:r>
      <w:r w:rsidDel="00000000" w:rsidR="00000000" w:rsidRPr="00000000">
        <w:rPr>
          <w:rFonts w:ascii="Times New Roman" w:cs="Times New Roman" w:eastAsia="Times New Roman" w:hAnsi="Times New Roman"/>
          <w:color w:val="000000"/>
          <w:vertAlign w:val="subscript"/>
          <w:rtl w:val="0"/>
        </w:rPr>
        <w:t xml:space="preserve">m</w:t>
      </w:r>
      <w:r w:rsidDel="00000000" w:rsidR="00000000" w:rsidRPr="00000000">
        <w:rPr>
          <w:rFonts w:ascii="Times New Roman" w:cs="Times New Roman" w:eastAsia="Times New Roman" w:hAnsi="Times New Roman"/>
          <w:color w:val="000000"/>
          <w:rtl w:val="0"/>
        </w:rPr>
        <w:t xml:space="preserve"> = DDOC</w:t>
      </w:r>
      <w:r w:rsidDel="00000000" w:rsidR="00000000" w:rsidRPr="00000000">
        <w:rPr>
          <w:rFonts w:ascii="Times New Roman" w:cs="Times New Roman" w:eastAsia="Times New Roman" w:hAnsi="Times New Roman"/>
          <w:color w:val="000000"/>
          <w:vertAlign w:val="subscript"/>
          <w:rtl w:val="0"/>
        </w:rPr>
        <w:t xml:space="preserve">m</w:t>
      </w:r>
      <w:r w:rsidDel="00000000" w:rsidR="00000000" w:rsidRPr="00000000">
        <w:rPr>
          <w:rFonts w:ascii="Times New Roman" w:cs="Times New Roman" w:eastAsia="Times New Roman" w:hAnsi="Times New Roman"/>
          <w:color w:val="000000"/>
          <w:rtl w:val="0"/>
        </w:rPr>
        <w:t xml:space="preserve"> depositados no </w:t>
      </w:r>
      <w:r w:rsidDel="00000000" w:rsidR="00000000" w:rsidRPr="00000000">
        <w:rPr>
          <w:rFonts w:ascii="Times New Roman" w:cs="Times New Roman" w:eastAsia="Times New Roman" w:hAnsi="Times New Roman"/>
          <w:color w:val="000000"/>
          <w:sz w:val="24"/>
          <w:szCs w:val="24"/>
          <w:rtl w:val="0"/>
        </w:rPr>
        <w:t xml:space="preserve">aterro n</w:t>
      </w:r>
      <w:r w:rsidDel="00000000" w:rsidR="00000000" w:rsidRPr="00000000">
        <w:rPr>
          <w:rFonts w:ascii="Times New Roman" w:cs="Times New Roman" w:eastAsia="Times New Roman" w:hAnsi="Times New Roman"/>
          <w:color w:val="000000"/>
          <w:rtl w:val="0"/>
        </w:rPr>
        <w:t xml:space="preserve">o ano T (t); DDOC</w:t>
      </w:r>
      <w:r w:rsidDel="00000000" w:rsidR="00000000" w:rsidRPr="00000000">
        <w:rPr>
          <w:rFonts w:ascii="Times New Roman" w:cs="Times New Roman" w:eastAsia="Times New Roman" w:hAnsi="Times New Roman"/>
          <w:color w:val="000000"/>
          <w:vertAlign w:val="subscript"/>
          <w:rtl w:val="0"/>
        </w:rPr>
        <w:t xml:space="preserve">mdecompT </w:t>
      </w:r>
      <w:r w:rsidDel="00000000" w:rsidR="00000000" w:rsidRPr="00000000">
        <w:rPr>
          <w:rFonts w:ascii="Times New Roman" w:cs="Times New Roman" w:eastAsia="Times New Roman" w:hAnsi="Times New Roman"/>
          <w:color w:val="000000"/>
          <w:rtl w:val="0"/>
        </w:rPr>
        <w:t xml:space="preserve">= DDOC</w:t>
      </w:r>
      <w:r w:rsidDel="00000000" w:rsidR="00000000" w:rsidRPr="00000000">
        <w:rPr>
          <w:rFonts w:ascii="Times New Roman" w:cs="Times New Roman" w:eastAsia="Times New Roman" w:hAnsi="Times New Roman"/>
          <w:color w:val="000000"/>
          <w:vertAlign w:val="subscript"/>
          <w:rtl w:val="0"/>
        </w:rPr>
        <w:t xml:space="preserve">m</w:t>
      </w:r>
      <w:r w:rsidDel="00000000" w:rsidR="00000000" w:rsidRPr="00000000">
        <w:rPr>
          <w:rFonts w:ascii="Times New Roman" w:cs="Times New Roman" w:eastAsia="Times New Roman" w:hAnsi="Times New Roman"/>
          <w:color w:val="000000"/>
          <w:rtl w:val="0"/>
        </w:rPr>
        <w:t xml:space="preserve"> decomposto no </w:t>
      </w:r>
      <w:r w:rsidDel="00000000" w:rsidR="00000000" w:rsidRPr="00000000">
        <w:rPr>
          <w:rFonts w:ascii="Times New Roman" w:cs="Times New Roman" w:eastAsia="Times New Roman" w:hAnsi="Times New Roman"/>
          <w:color w:val="000000"/>
          <w:sz w:val="24"/>
          <w:szCs w:val="24"/>
          <w:rtl w:val="0"/>
        </w:rPr>
        <w:t xml:space="preserve">aterro </w:t>
      </w:r>
      <w:r w:rsidDel="00000000" w:rsidR="00000000" w:rsidRPr="00000000">
        <w:rPr>
          <w:rFonts w:ascii="Times New Roman" w:cs="Times New Roman" w:eastAsia="Times New Roman" w:hAnsi="Times New Roman"/>
          <w:color w:val="000000"/>
          <w:rtl w:val="0"/>
        </w:rPr>
        <w:t xml:space="preserve">no ano T (t); k é a constantede reação (ano</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sendo </w:t>
      </w:r>
      <m:oMath>
        <m:r>
          <w:rPr>
            <w:rFonts w:ascii="Cambria Math" w:cs="Cambria Math" w:eastAsia="Cambria Math" w:hAnsi="Cambria Math"/>
            <w:color w:val="000000"/>
          </w:rPr>
          <m:t xml:space="preserve">k=</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ln2</m:t>
            </m:r>
          </m:num>
          <m:den>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t</m:t>
                </m:r>
              </m:e>
              <m:sub>
                <m:r>
                  <w:rPr>
                    <w:rFonts w:ascii="Cambria Math" w:cs="Cambria Math" w:eastAsia="Cambria Math" w:hAnsi="Cambria Math"/>
                    <w:color w:val="000000"/>
                  </w:rPr>
                  <m:t xml:space="preserve">1/2</m:t>
                </m:r>
              </m:sub>
            </m:sSub>
          </m:den>
        </m:f>
      </m:oMath>
      <w:r w:rsidDel="00000000" w:rsidR="00000000" w:rsidRPr="00000000">
        <w:rPr>
          <w:rFonts w:ascii="Times New Roman" w:cs="Times New Roman" w:eastAsia="Times New Roman" w:hAnsi="Times New Roman"/>
          <w:color w:val="000000"/>
          <w:rtl w:val="0"/>
        </w:rPr>
        <w:t xml:space="preserve">; e t1/2 é o tempo de meia-vida (9 anos).</w:t>
      </w:r>
    </w:p>
    <w:p w:rsidR="00000000" w:rsidDel="00000000" w:rsidP="00000000" w:rsidRDefault="00000000" w:rsidRPr="00000000" w14:paraId="000000C9">
      <w:pPr>
        <w:spacing w:line="276"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A">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quantidade de CH</w:t>
      </w:r>
      <w:r w:rsidDel="00000000" w:rsidR="00000000" w:rsidRPr="00000000">
        <w:rPr>
          <w:rFonts w:ascii="Times New Roman" w:cs="Times New Roman" w:eastAsia="Times New Roman" w:hAnsi="Times New Roman"/>
          <w:color w:val="000000"/>
          <w:vertAlign w:val="subscript"/>
          <w:rtl w:val="0"/>
        </w:rPr>
        <w:t xml:space="preserve">4 </w:t>
      </w:r>
      <w:r w:rsidDel="00000000" w:rsidR="00000000" w:rsidRPr="00000000">
        <w:rPr>
          <w:rFonts w:ascii="Times New Roman" w:cs="Times New Roman" w:eastAsia="Times New Roman" w:hAnsi="Times New Roman"/>
          <w:color w:val="000000"/>
          <w:rtl w:val="0"/>
        </w:rPr>
        <w:t xml:space="preserve">gerado a partir do DDOCm que se decompõe é calculada a partir da Equação 8:</w:t>
      </w:r>
    </w:p>
    <w:p w:rsidR="00000000" w:rsidDel="00000000" w:rsidP="00000000" w:rsidRDefault="00000000" w:rsidRPr="00000000" w14:paraId="000000CB">
      <w:pPr>
        <w:spacing w:line="360" w:lineRule="auto"/>
        <w:jc w:val="both"/>
        <w:rPr>
          <w:rFonts w:ascii="Times New Roman" w:cs="Times New Roman" w:eastAsia="Times New Roman" w:hAnsi="Times New Roman"/>
          <w:color w:val="000000"/>
        </w:rPr>
      </w:pPr>
      <m:oMath>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CH</m:t>
            </m:r>
          </m:e>
          <m:sub>
            <m:r>
              <w:rPr>
                <w:rFonts w:ascii="Cambria Math" w:cs="Cambria Math" w:eastAsia="Cambria Math" w:hAnsi="Cambria Math"/>
                <w:color w:val="000000"/>
              </w:rPr>
              <m:t xml:space="preserve">4</m:t>
            </m:r>
          </m:sub>
        </m:sSub>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gerado</m:t>
            </m:r>
          </m:e>
          <m:sub>
            <m:r>
              <w:rPr>
                <w:rFonts w:ascii="Cambria Math" w:cs="Cambria Math" w:eastAsia="Cambria Math" w:hAnsi="Cambria Math"/>
                <w:color w:val="000000"/>
              </w:rPr>
              <m:t xml:space="preserve">T</m:t>
            </m:r>
          </m:sub>
        </m:sSub>
        <m:r>
          <w:rPr>
            <w:rFonts w:ascii="Cambria Math" w:cs="Cambria Math" w:eastAsia="Cambria Math" w:hAnsi="Cambria Math"/>
            <w:color w:val="000000"/>
          </w:rPr>
          <m:t xml:space="preserve">=</m:t>
        </m:r>
        <m:d>
          <m:dPr>
            <m:begChr m:val="("/>
            <m:endChr m:val=")"/>
            <m:ctrlPr>
              <w:rPr>
                <w:rFonts w:ascii="Cambria Math" w:cs="Cambria Math" w:eastAsia="Cambria Math" w:hAnsi="Cambria Math"/>
                <w:color w:val="000000"/>
              </w:rPr>
            </m:ctrlPr>
          </m:dPr>
          <m:e>
            <m:r>
              <w:rPr>
                <w:rFonts w:ascii="Cambria Math" w:cs="Cambria Math" w:eastAsia="Cambria Math" w:hAnsi="Cambria Math"/>
                <w:color w:val="000000"/>
              </w:rPr>
              <m:t xml:space="preserve">DDOC</m:t>
            </m:r>
            <m:sSub>
              <m:sSubPr>
                <m:ctrlPr>
                  <w:rPr>
                    <w:rFonts w:ascii="Cambria Math" w:cs="Cambria Math" w:eastAsia="Cambria Math" w:hAnsi="Cambria Math"/>
                    <w:color w:val="000000"/>
                  </w:rPr>
                </m:ctrlPr>
              </m:sSubPr>
              <m:e>
                <m:r>
                  <w:rPr>
                    <w:rFonts w:ascii="Cambria Math" w:cs="Cambria Math" w:eastAsia="Cambria Math" w:hAnsi="Cambria Math"/>
                    <w:color w:val="000000"/>
                  </w:rPr>
                  <m:t xml:space="preserve">m decomp</m:t>
                </m:r>
              </m:e>
              <m:sub>
                <m:r>
                  <w:rPr>
                    <w:rFonts w:ascii="Cambria Math" w:cs="Cambria Math" w:eastAsia="Cambria Math" w:hAnsi="Cambria Math"/>
                    <w:color w:val="000000"/>
                  </w:rPr>
                  <m:t xml:space="preserve">T</m:t>
                </m:r>
              </m:sub>
            </m:sSub>
            <m:r>
              <w:rPr>
                <w:rFonts w:ascii="Cambria Math" w:cs="Cambria Math" w:eastAsia="Cambria Math" w:hAnsi="Cambria Math"/>
                <w:color w:val="000000"/>
              </w:rPr>
              <m:t xml:space="preserve">.F.</m:t>
            </m:r>
            <m:f>
              <m:fPr>
                <m:ctrlPr>
                  <w:rPr>
                    <w:rFonts w:ascii="Cambria Math" w:cs="Cambria Math" w:eastAsia="Cambria Math" w:hAnsi="Cambria Math"/>
                    <w:color w:val="000000"/>
                  </w:rPr>
                </m:ctrlPr>
              </m:fPr>
              <m:num>
                <m:r>
                  <w:rPr>
                    <w:rFonts w:ascii="Cambria Math" w:cs="Cambria Math" w:eastAsia="Cambria Math" w:hAnsi="Cambria Math"/>
                    <w:color w:val="000000"/>
                  </w:rPr>
                  <m:t xml:space="preserve">16</m:t>
                </m:r>
              </m:num>
              <m:den>
                <m:r>
                  <w:rPr>
                    <w:rFonts w:ascii="Cambria Math" w:cs="Cambria Math" w:eastAsia="Cambria Math" w:hAnsi="Cambria Math"/>
                    <w:color w:val="000000"/>
                  </w:rPr>
                  <m:t xml:space="preserve">12</m:t>
                </m:r>
              </m:den>
            </m:f>
            <m:r>
              <w:rPr>
                <w:rFonts w:ascii="Cambria Math" w:cs="Cambria Math" w:eastAsia="Cambria Math" w:hAnsi="Cambria Math"/>
                <w:color w:val="000000"/>
              </w:rPr>
              <m:t xml:space="preserve">.R</m:t>
            </m:r>
          </m:e>
        </m:d>
        <m:r>
          <w:rPr>
            <w:rFonts w:ascii="Cambria Math" w:cs="Cambria Math" w:eastAsia="Cambria Math" w:hAnsi="Cambria Math"/>
            <w:color w:val="000000"/>
          </w:rPr>
          <m:t xml:space="preserve">.(1-OX)</m:t>
        </m:r>
      </m:oMath>
      <w:r w:rsidDel="00000000" w:rsidR="00000000" w:rsidRPr="00000000">
        <w:rPr>
          <w:rFonts w:ascii="Times New Roman" w:cs="Times New Roman" w:eastAsia="Times New Roman" w:hAnsi="Times New Roman"/>
          <w:color w:val="000000"/>
          <w:rtl w:val="0"/>
        </w:rPr>
        <w:t xml:space="preserve">                                                                                                   (8)</w:t>
      </w:r>
    </w:p>
    <w:p w:rsidR="00000000" w:rsidDel="00000000" w:rsidP="00000000" w:rsidRDefault="00000000" w:rsidRPr="00000000" w14:paraId="000000CC">
      <w:pPr>
        <w:spacing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Onde: </w:t>
      </w:r>
      <w:r w:rsidDel="00000000" w:rsidR="00000000" w:rsidRPr="00000000">
        <w:rPr>
          <w:rFonts w:ascii="Times New Roman" w:cs="Times New Roman" w:eastAsia="Times New Roman" w:hAnsi="Times New Roman"/>
          <w:color w:val="000000"/>
          <w:sz w:val="24"/>
          <w:szCs w:val="24"/>
          <w:rtl w:val="0"/>
        </w:rPr>
        <w:t xml:space="preserve">CH</w:t>
      </w:r>
      <w:r w:rsidDel="00000000" w:rsidR="00000000" w:rsidRPr="00000000">
        <w:rPr>
          <w:rFonts w:ascii="Times New Roman" w:cs="Times New Roman" w:eastAsia="Times New Roman" w:hAnsi="Times New Roman"/>
          <w:color w:val="000000"/>
          <w:sz w:val="24"/>
          <w:szCs w:val="24"/>
          <w:vertAlign w:val="subscript"/>
          <w:rtl w:val="0"/>
        </w:rPr>
        <w:t xml:space="preserve">4geradoT</w:t>
      </w:r>
      <w:r w:rsidDel="00000000" w:rsidR="00000000" w:rsidRPr="00000000">
        <w:rPr>
          <w:rFonts w:ascii="Times New Roman" w:cs="Times New Roman" w:eastAsia="Times New Roman" w:hAnsi="Times New Roman"/>
          <w:color w:val="000000"/>
          <w:sz w:val="24"/>
          <w:szCs w:val="24"/>
          <w:rtl w:val="0"/>
        </w:rPr>
        <w:t xml:space="preserve"> é a quantidade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gerado a partir do material decomposto (t); DDOC</w:t>
      </w:r>
      <w:r w:rsidDel="00000000" w:rsidR="00000000" w:rsidRPr="00000000">
        <w:rPr>
          <w:rFonts w:ascii="Times New Roman" w:cs="Times New Roman" w:eastAsia="Times New Roman" w:hAnsi="Times New Roman"/>
          <w:color w:val="000000"/>
          <w:sz w:val="24"/>
          <w:szCs w:val="24"/>
          <w:vertAlign w:val="subscript"/>
          <w:rtl w:val="0"/>
        </w:rPr>
        <w:t xml:space="preserve">m decompT</w:t>
      </w:r>
      <w:r w:rsidDel="00000000" w:rsidR="00000000" w:rsidRPr="00000000">
        <w:rPr>
          <w:rFonts w:ascii="Times New Roman" w:cs="Times New Roman" w:eastAsia="Times New Roman" w:hAnsi="Times New Roman"/>
          <w:color w:val="000000"/>
          <w:sz w:val="24"/>
          <w:szCs w:val="24"/>
          <w:rtl w:val="0"/>
        </w:rPr>
        <w:t xml:space="preserve"> = DDOCm decomposto no ano T (t); F é a fração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em volume no gás de aterro gerado (estimado em 50%); 16/12 é a relação peso molecular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/C; R é o percentual de recuperação de metano (estimado em 60%) e OX é o fator de oxidação (estimado em 0,1). </w:t>
      </w:r>
      <w:r w:rsidDel="00000000" w:rsidR="00000000" w:rsidRPr="00000000">
        <w:rPr>
          <w:rtl w:val="0"/>
        </w:rPr>
      </w:r>
    </w:p>
    <w:p w:rsidR="00000000" w:rsidDel="00000000" w:rsidP="00000000" w:rsidRDefault="00000000" w:rsidRPr="00000000" w14:paraId="000000CD">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 a determinação da potência e energia disponível foram utilizadas as Equações 9 e 10, respectivamente:</w:t>
      </w:r>
    </w:p>
    <w:p w:rsidR="00000000" w:rsidDel="00000000" w:rsidP="00000000" w:rsidRDefault="00000000" w:rsidRPr="00000000" w14:paraId="000000CE">
      <w:pPr>
        <w:spacing w:line="360" w:lineRule="auto"/>
        <w:jc w:val="both"/>
        <w:rPr>
          <w:rFonts w:ascii="Times New Roman" w:cs="Times New Roman" w:eastAsia="Times New Roman" w:hAnsi="Times New Roman"/>
          <w:color w:val="000000"/>
          <w:sz w:val="24"/>
          <w:szCs w:val="24"/>
        </w:rPr>
      </w:pPr>
      <m:oMath>
        <m:r>
          <w:rPr>
            <w:rFonts w:ascii="Cambria Math" w:cs="Cambria Math" w:eastAsia="Cambria Math" w:hAnsi="Cambria Math"/>
            <w:color w:val="000000"/>
            <w:sz w:val="24"/>
            <w:szCs w:val="24"/>
          </w:rPr>
          <m:t xml:space="preserve">P=</m:t>
        </m:r>
        <m:f>
          <m:fPr>
            <m:ctrlPr>
              <w:rPr>
                <w:rFonts w:ascii="Cambria Math" w:cs="Cambria Math" w:eastAsia="Cambria Math" w:hAnsi="Cambria Math"/>
                <w:color w:val="000000"/>
                <w:sz w:val="24"/>
                <w:szCs w:val="24"/>
              </w:rPr>
            </m:ctrlPr>
          </m:fPr>
          <m:num>
            <m:r>
              <w:rPr>
                <w:rFonts w:ascii="Cambria Math" w:cs="Cambria Math" w:eastAsia="Cambria Math" w:hAnsi="Cambria Math"/>
                <w:color w:val="000000"/>
                <w:sz w:val="24"/>
                <w:szCs w:val="24"/>
              </w:rPr>
              <m:t xml:space="preserve">Q.PCI.η</m:t>
            </m:r>
          </m:num>
          <m:den>
            <m:r>
              <w:rPr>
                <w:rFonts w:ascii="Cambria Math" w:cs="Cambria Math" w:eastAsia="Cambria Math" w:hAnsi="Cambria Math"/>
                <w:color w:val="000000"/>
                <w:sz w:val="24"/>
                <w:szCs w:val="24"/>
              </w:rPr>
              <m:t xml:space="preserve">860000</m:t>
            </m:r>
          </m:den>
        </m:f>
      </m:oMath>
      <w:r w:rsidDel="00000000" w:rsidR="00000000" w:rsidRPr="00000000">
        <w:rPr>
          <w:rFonts w:ascii="Times New Roman" w:cs="Times New Roman" w:eastAsia="Times New Roman" w:hAnsi="Times New Roman"/>
          <w:color w:val="000000"/>
          <w:sz w:val="24"/>
          <w:szCs w:val="24"/>
          <w:rtl w:val="0"/>
        </w:rPr>
        <w:t xml:space="preserve">                                                                                                                                                                (9)</w:t>
      </w:r>
    </w:p>
    <w:p w:rsidR="00000000" w:rsidDel="00000000" w:rsidP="00000000" w:rsidRDefault="00000000" w:rsidRPr="00000000" w14:paraId="000000CF">
      <w:pPr>
        <w:spacing w:line="360" w:lineRule="auto"/>
        <w:jc w:val="both"/>
        <w:rPr>
          <w:rFonts w:ascii="Times New Roman" w:cs="Times New Roman" w:eastAsia="Times New Roman" w:hAnsi="Times New Roman"/>
          <w:color w:val="000000"/>
          <w:sz w:val="24"/>
          <w:szCs w:val="24"/>
        </w:rPr>
      </w:pPr>
      <m:oMath>
        <m:r>
          <w:rPr>
            <w:rFonts w:ascii="Cambria Math" w:cs="Cambria Math" w:eastAsia="Cambria Math" w:hAnsi="Cambria Math"/>
            <w:color w:val="000000"/>
            <w:sz w:val="24"/>
            <w:szCs w:val="24"/>
          </w:rPr>
          <m:t xml:space="preserve">E=P.Rend.Temp.Op.</m:t>
        </m:r>
      </m:oMath>
      <w:r w:rsidDel="00000000" w:rsidR="00000000" w:rsidRPr="00000000">
        <w:rPr>
          <w:rFonts w:ascii="Times New Roman" w:cs="Times New Roman" w:eastAsia="Times New Roman" w:hAnsi="Times New Roman"/>
          <w:color w:val="000000"/>
          <w:sz w:val="24"/>
          <w:szCs w:val="24"/>
          <w:rtl w:val="0"/>
        </w:rPr>
        <w:t xml:space="preserve">                                                                                                                                          (10)</w:t>
      </w:r>
    </w:p>
    <w:p w:rsidR="00000000" w:rsidDel="00000000" w:rsidP="00000000" w:rsidRDefault="00000000" w:rsidRPr="00000000" w14:paraId="000000D0">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Onde: P é a potência disponível (MW); PCI é o Poder Calorífico Inferior do metano (estimado 8.500 kcal/m</w:t>
      </w:r>
      <w:r w:rsidDel="00000000" w:rsidR="00000000" w:rsidRPr="00000000">
        <w:rPr>
          <w:rFonts w:ascii="Times New Roman" w:cs="Times New Roman" w:eastAsia="Times New Roman" w:hAnsi="Times New Roman"/>
          <w:color w:val="000000"/>
          <w:sz w:val="24"/>
          <w:szCs w:val="24"/>
          <w:vertAlign w:val="superscript"/>
          <w:rtl w:val="0"/>
        </w:rPr>
        <w:t xml:space="preserve">3</w:t>
      </w:r>
      <w:r w:rsidDel="00000000" w:rsidR="00000000" w:rsidRPr="00000000">
        <w:rPr>
          <w:rFonts w:ascii="Times New Roman" w:cs="Times New Roman" w:eastAsia="Times New Roman" w:hAnsi="Times New Roman"/>
          <w:color w:val="000000"/>
          <w:sz w:val="24"/>
          <w:szCs w:val="24"/>
          <w:rtl w:val="0"/>
        </w:rPr>
        <w:t xml:space="preserve">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η é a eficiência da coleta dos gases (estimado em 75%); 860.000 é a conversão de kcal para MW; E é a energia disponível (MWh/dia); Rend é o rendimento de motores operando a plena carga (estimado em 30%); e Temp.Op. é o tempo de operação do motor (24 horas/dia).</w:t>
      </w:r>
    </w:p>
    <w:p w:rsidR="00000000" w:rsidDel="00000000" w:rsidP="00000000" w:rsidRDefault="00000000" w:rsidRPr="00000000" w14:paraId="000000D1">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3.4 Estimativas de Energia Conservada</w:t>
      </w:r>
    </w:p>
    <w:p w:rsidR="00000000" w:rsidDel="00000000" w:rsidP="00000000" w:rsidRDefault="00000000" w:rsidRPr="00000000" w14:paraId="000000D2">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maior ou menor grau, a reciclagem permite acumular uma conservação de energia por vezes expressiva e, neste sentido, deve ser considerada como parte de uma estratégia de aproveitamento energético de RSU. A estimativa da energia elétrica conservada a partir do uso de material reciclável como matéria-prima requer a definição de fatores de conversão, geralmente expressos em MWh/t ou kWh/kg, em cuja determinação podem ser utilizadas diferentes critérios e abordagens metodológicas como as de alguns autores como Calderoni (1996), Morris (1996), EPA (2007) e Warnken ISE (2007). A Tabela 4 mostra os índices contidos em cada uma destas metodologias que permitem estimar índices de energia elétrica conservada, dos principais materiais recicláveis.</w:t>
      </w:r>
    </w:p>
    <w:p w:rsidR="00000000" w:rsidDel="00000000" w:rsidP="00000000" w:rsidRDefault="00000000" w:rsidRPr="00000000" w14:paraId="000000D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Tabela 4</w:t>
      </w:r>
      <w:r w:rsidDel="00000000" w:rsidR="00000000" w:rsidRPr="00000000">
        <w:rPr>
          <w:rFonts w:ascii="Times New Roman" w:cs="Times New Roman" w:eastAsia="Times New Roman" w:hAnsi="Times New Roman"/>
          <w:color w:val="000000"/>
          <w:sz w:val="24"/>
          <w:szCs w:val="24"/>
          <w:rtl w:val="0"/>
        </w:rPr>
        <w:t xml:space="preserve">. Potencial de conservação de energia elétrica a partir da reciclagem de componentes encontrados nos RSU</w:t>
      </w:r>
    </w:p>
    <w:tbl>
      <w:tblPr>
        <w:tblStyle w:val="Table4"/>
        <w:tblW w:w="7513.0" w:type="dxa"/>
        <w:jc w:val="center"/>
        <w:tblLayout w:type="fixed"/>
        <w:tblLook w:val="0400"/>
      </w:tblPr>
      <w:tblGrid>
        <w:gridCol w:w="1843"/>
        <w:gridCol w:w="1559"/>
        <w:gridCol w:w="993"/>
        <w:gridCol w:w="1275"/>
        <w:gridCol w:w="1843"/>
        <w:tblGridChange w:id="0">
          <w:tblGrid>
            <w:gridCol w:w="1843"/>
            <w:gridCol w:w="1559"/>
            <w:gridCol w:w="993"/>
            <w:gridCol w:w="1275"/>
            <w:gridCol w:w="1843"/>
          </w:tblGrid>
        </w:tblGridChange>
      </w:tblGrid>
      <w:tr>
        <w:trPr>
          <w:cantSplit w:val="0"/>
          <w:trHeight w:val="315" w:hRule="atLeast"/>
          <w:tblHeader w:val="0"/>
        </w:trPr>
        <w:tc>
          <w:tcPr>
            <w:vMerge w:val="restart"/>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D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Material</w:t>
            </w:r>
          </w:p>
        </w:tc>
        <w:tc>
          <w:tcPr>
            <w:gridSpan w:val="4"/>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D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Índice de Energia Elétrica Conservada (MWh/t) </w:t>
            </w:r>
          </w:p>
        </w:tc>
      </w:tr>
      <w:tr>
        <w:trPr>
          <w:cantSplit w:val="0"/>
          <w:trHeight w:val="315" w:hRule="atLeast"/>
          <w:tblHeader w:val="0"/>
        </w:trPr>
        <w:tc>
          <w:tcPr>
            <w:vMerge w:val="continue"/>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D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Calderoni</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D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Morris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EPA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D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Warnken ISE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Papel/Papelão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D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1,37</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Plástico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15,39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Metal</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E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2,67</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Vidro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E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F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1,25</w:t>
            </w:r>
          </w:p>
        </w:tc>
      </w:tr>
      <w:tr>
        <w:trPr>
          <w:cantSplit w:val="0"/>
          <w:trHeight w:val="315" w:hRule="atLeast"/>
          <w:tblHeader w:val="0"/>
        </w:trPr>
        <w:tc>
          <w:tcPr>
            <w:gridSpan w:val="5"/>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F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Fonte: Calderoni (1996); Morris (1996); EPA (2007); Warnken ISE (2007)</w:t>
            </w:r>
          </w:p>
        </w:tc>
      </w:tr>
    </w:tbl>
    <w:p w:rsidR="00000000" w:rsidDel="00000000" w:rsidP="00000000" w:rsidRDefault="00000000" w:rsidRPr="00000000" w14:paraId="000000F7">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8">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Resultados</w:t>
      </w:r>
    </w:p>
    <w:p w:rsidR="00000000" w:rsidDel="00000000" w:rsidP="00000000" w:rsidRDefault="00000000" w:rsidRPr="00000000" w14:paraId="000000F9">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4.1 Quantidade de Resíduo Sólido Urbano Gerado pelo Consórcio</w:t>
      </w:r>
    </w:p>
    <w:p w:rsidR="00000000" w:rsidDel="00000000" w:rsidP="00000000" w:rsidRDefault="00000000" w:rsidRPr="00000000" w14:paraId="000000FA">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Tabela 5. mostra a estimativa da população e quantidade de RSU gerada pelos municípios que compõem o consórcio a partir dos dados populacionais, da projeção populacional e geração per capita levando em consideração o horizonte de adequação as novas metas definidas no Planares do ano vigente 2025 até 2040.</w:t>
      </w:r>
    </w:p>
    <w:p w:rsidR="00000000" w:rsidDel="00000000" w:rsidP="00000000" w:rsidRDefault="00000000" w:rsidRPr="00000000" w14:paraId="000000FB">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partir dos valores apresentados na Tabela 5 pode-se observar que o total populacional dos 8 municípios que compõem o consórcio apresentará uma faixa de 670075 a 845582 habitantes e uma geração de RSU de 295484 a 373234 t, o que corresponde a uma geração per capita média de 1,2 kg/hab.dia. Segundo Monteiro (2001), para esse extrato populacional (500 mil a 5 milhões) a quantidade de RSU enviado ao aterro é componível a população de grandes cidades que em teoria apresentaria uma geração per capita de RSU de 0,8 a 1,0 kg/hab.dia, porém, apresenta uma geração per capita acima de 1,0 kg/hab.dia, configurando-se como uma grande megalópole.</w:t>
      </w:r>
    </w:p>
    <w:p w:rsidR="00000000" w:rsidDel="00000000" w:rsidP="00000000" w:rsidRDefault="00000000" w:rsidRPr="00000000" w14:paraId="000000FC">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Tabela 5</w:t>
      </w:r>
      <w:r w:rsidDel="00000000" w:rsidR="00000000" w:rsidRPr="00000000">
        <w:rPr>
          <w:rFonts w:ascii="Times New Roman" w:cs="Times New Roman" w:eastAsia="Times New Roman" w:hAnsi="Times New Roman"/>
          <w:color w:val="000000"/>
          <w:sz w:val="24"/>
          <w:szCs w:val="24"/>
          <w:rtl w:val="0"/>
        </w:rPr>
        <w:t xml:space="preserve">. Evolução da População e da Quantidade de RSU do Consórcio</w:t>
      </w:r>
    </w:p>
    <w:tbl>
      <w:tblPr>
        <w:tblStyle w:val="Table5"/>
        <w:tblW w:w="4713.0" w:type="dxa"/>
        <w:jc w:val="center"/>
        <w:tblLayout w:type="fixed"/>
        <w:tblLook w:val="0400"/>
      </w:tblPr>
      <w:tblGrid>
        <w:gridCol w:w="620"/>
        <w:gridCol w:w="1838"/>
        <w:gridCol w:w="2255"/>
        <w:tblGridChange w:id="0">
          <w:tblGrid>
            <w:gridCol w:w="620"/>
            <w:gridCol w:w="1838"/>
            <w:gridCol w:w="2255"/>
          </w:tblGrid>
        </w:tblGridChange>
      </w:tblGrid>
      <w:tr>
        <w:trPr>
          <w:cantSplit w:val="0"/>
          <w:trHeight w:val="315" w:hRule="atLeast"/>
          <w:tblHeader w:val="0"/>
        </w:trPr>
        <w:tc>
          <w:tcPr>
            <w:gridSpan w:val="3"/>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F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Consórcio</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0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0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População (hab)</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0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Quantidade RSU (t)</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670075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295484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681775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300667</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693476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305850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705176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0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311034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716877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316217</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728577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321400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740278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326584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751978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331767</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763678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336950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775379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342134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787079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347317</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798780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352500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810480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357684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822181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362867</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833881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368050</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2040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845582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3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373234</w:t>
            </w:r>
          </w:p>
        </w:tc>
      </w:tr>
    </w:tbl>
    <w:p w:rsidR="00000000" w:rsidDel="00000000" w:rsidP="00000000" w:rsidRDefault="00000000" w:rsidRPr="00000000" w14:paraId="00000134">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4.2 Composição Gravimétrica dos RSU do Consórcio</w:t>
      </w:r>
    </w:p>
    <w:p w:rsidR="00000000" w:rsidDel="00000000" w:rsidP="00000000" w:rsidRDefault="00000000" w:rsidRPr="00000000" w14:paraId="00000136">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Tabela 6 mostra a composição gravimétrica mássica dos RSU do consórcio para o horizonte de 2025 a 2040. A partir dos valores de composição gravimétrica (%) da Tabela 3 e da quantidade de RSU da Tabela 5 foi possível obter os valores utilizados para os cálculos de massa (t) de RSU para o Cenário I (Alimentos/Orgânicos, Madeiras e Papel/Papelação) que leva em consideração a geração de metano a partir da fração orgânica dos RSU enviados ao aterro e Cenário II (Alimentos/Orgânicos e Madeiras + Papel/Papelção, Plástico, Metal e Vidro) que leva em consideração a fração orgânica que não pode ser “reciclada” + os materiais que são passíveis de reciclagem.</w:t>
      </w:r>
    </w:p>
    <w:p w:rsidR="00000000" w:rsidDel="00000000" w:rsidP="00000000" w:rsidRDefault="00000000" w:rsidRPr="00000000" w14:paraId="00000137">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Tabela 6 mostra os valores mássicos para cada fração (composição gravimétrica) ao longo dos anos, delineada para o cálculo dos cenários, sendo possível observar que 51,4% correspondem a fração Alimento/Orgânicos, 16,7% a fração Madeiras, 13,1 a fração Papel/Papelão, 13,5% a fração Plástico, 2,9% a fração Metal e 2,4% a fração Vidro. Segundo SISEMA (2017) a composição gravimétrica média dos RSU gerados nos municípios de Minas Gerais apresentaram 39,24% restos de alimentos, 6,46% de poda e madeira, 11,52% de papel, 13,58% de plástico, 1,39% de metal e 2,66% de vidro.</w:t>
      </w:r>
    </w:p>
    <w:p w:rsidR="00000000" w:rsidDel="00000000" w:rsidP="00000000" w:rsidRDefault="00000000" w:rsidRPr="00000000" w14:paraId="00000138">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9">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A">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B">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3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Tabela 6</w:t>
      </w:r>
      <w:r w:rsidDel="00000000" w:rsidR="00000000" w:rsidRPr="00000000">
        <w:rPr>
          <w:rFonts w:ascii="Times New Roman" w:cs="Times New Roman" w:eastAsia="Times New Roman" w:hAnsi="Times New Roman"/>
          <w:color w:val="000000"/>
          <w:sz w:val="24"/>
          <w:szCs w:val="24"/>
          <w:rtl w:val="0"/>
        </w:rPr>
        <w:t xml:space="preserve">. Composição Gravimétrica Mássica dos RSU do Consórcio</w:t>
      </w:r>
    </w:p>
    <w:tbl>
      <w:tblPr>
        <w:tblStyle w:val="Table6"/>
        <w:tblW w:w="8244.0" w:type="dxa"/>
        <w:jc w:val="center"/>
        <w:tblLayout w:type="fixed"/>
        <w:tblLook w:val="0400"/>
      </w:tblPr>
      <w:tblGrid>
        <w:gridCol w:w="756"/>
        <w:gridCol w:w="2360"/>
        <w:gridCol w:w="1114"/>
        <w:gridCol w:w="1594"/>
        <w:gridCol w:w="940"/>
        <w:gridCol w:w="740"/>
        <w:gridCol w:w="740"/>
        <w:tblGridChange w:id="0">
          <w:tblGrid>
            <w:gridCol w:w="756"/>
            <w:gridCol w:w="2360"/>
            <w:gridCol w:w="1114"/>
            <w:gridCol w:w="1594"/>
            <w:gridCol w:w="940"/>
            <w:gridCol w:w="740"/>
            <w:gridCol w:w="740"/>
          </w:tblGrid>
        </w:tblGridChange>
      </w:tblGrid>
      <w:tr>
        <w:trPr>
          <w:cantSplit w:val="0"/>
          <w:trHeight w:val="315" w:hRule="atLeast"/>
          <w:tblHeader w:val="0"/>
        </w:trPr>
        <w:tc>
          <w:tcPr>
            <w:vMerge w:val="restart"/>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3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Ano</w:t>
            </w:r>
          </w:p>
        </w:tc>
        <w:tc>
          <w:tcPr>
            <w:gridSpan w:val="6"/>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3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Composição Gravimétrica (t)</w:t>
            </w:r>
          </w:p>
        </w:tc>
      </w:tr>
      <w:tr>
        <w:trPr>
          <w:cantSplit w:val="0"/>
          <w:trHeight w:val="315" w:hRule="atLeast"/>
          <w:tblHeader w:val="0"/>
        </w:trPr>
        <w:tc>
          <w:tcPr>
            <w:vMerge w:val="continue"/>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Alimentos/Orgânicos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Madeiras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Papel/Papelão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Plástico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Metal</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4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Vidro</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151879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49346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38708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4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39890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8569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7092</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154543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50211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39387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40590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8719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7216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157207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51077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40066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41290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8870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5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7340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159871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51943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40745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41990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9020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7465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162536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52808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41424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42689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9170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7589</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6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165200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53674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42103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43389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9321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7714</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167864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54539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42782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44089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9471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7838</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170528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55405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7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43461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44789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9621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7962</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173192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56271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44140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45488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9772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8087</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175857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57136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44820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46188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8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9922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8211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178521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58002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45499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46888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10072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8336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181185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58868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46178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47588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10223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8460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9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183849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59733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46857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48287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10373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8584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186514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60599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47536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48987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10523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8709</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189178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61464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48215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49687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10673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B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8833</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2040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191842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62330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48894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50387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10824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B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8958</w:t>
            </w:r>
          </w:p>
        </w:tc>
      </w:tr>
    </w:tbl>
    <w:p w:rsidR="00000000" w:rsidDel="00000000" w:rsidP="00000000" w:rsidRDefault="00000000" w:rsidRPr="00000000" w14:paraId="000001BB">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C">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4.3 Cenários de Aproveitamento Energético dos RSU do Consórcio</w:t>
      </w:r>
    </w:p>
    <w:p w:rsidR="00000000" w:rsidDel="00000000" w:rsidP="00000000" w:rsidRDefault="00000000" w:rsidRPr="00000000" w14:paraId="000001BD">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Tabela 7 mostra a quantidade de CH</w:t>
      </w:r>
      <w:r w:rsidDel="00000000" w:rsidR="00000000" w:rsidRPr="00000000">
        <w:rPr>
          <w:rFonts w:ascii="Times New Roman" w:cs="Times New Roman" w:eastAsia="Times New Roman" w:hAnsi="Times New Roman"/>
          <w:color w:val="000000"/>
          <w:sz w:val="24"/>
          <w:szCs w:val="24"/>
          <w:vertAlign w:val="subscript"/>
          <w:rtl w:val="0"/>
        </w:rPr>
        <w:t xml:space="preserve">4 </w:t>
      </w:r>
      <w:r w:rsidDel="00000000" w:rsidR="00000000" w:rsidRPr="00000000">
        <w:rPr>
          <w:rFonts w:ascii="Times New Roman" w:cs="Times New Roman" w:eastAsia="Times New Roman" w:hAnsi="Times New Roman"/>
          <w:color w:val="000000"/>
          <w:sz w:val="24"/>
          <w:szCs w:val="24"/>
          <w:rtl w:val="0"/>
        </w:rPr>
        <w:t xml:space="preserve">gerado no Cenário I e II no período de 2025 a 2040. A massa (t) e o volume (m</w:t>
      </w:r>
      <w:r w:rsidDel="00000000" w:rsidR="00000000" w:rsidRPr="00000000">
        <w:rPr>
          <w:rFonts w:ascii="Times New Roman" w:cs="Times New Roman" w:eastAsia="Times New Roman" w:hAnsi="Times New Roman"/>
          <w:color w:val="000000"/>
          <w:sz w:val="24"/>
          <w:szCs w:val="24"/>
          <w:vertAlign w:val="superscript"/>
          <w:rtl w:val="0"/>
        </w:rPr>
        <w:t xml:space="preserve">3</w:t>
      </w:r>
      <w:r w:rsidDel="00000000" w:rsidR="00000000" w:rsidRPr="00000000">
        <w:rPr>
          <w:rFonts w:ascii="Times New Roman" w:cs="Times New Roman" w:eastAsia="Times New Roman" w:hAnsi="Times New Roman"/>
          <w:color w:val="000000"/>
          <w:sz w:val="24"/>
          <w:szCs w:val="24"/>
          <w:rtl w:val="0"/>
        </w:rPr>
        <w:t xml:space="preserve">) estimados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emitido no Cenário I (100% dos RSU aterrados) para o período corresponde a um total de 198.473 tCH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e 277.973.750 m</w:t>
      </w:r>
      <w:r w:rsidDel="00000000" w:rsidR="00000000" w:rsidRPr="00000000">
        <w:rPr>
          <w:rFonts w:ascii="Times New Roman" w:cs="Times New Roman" w:eastAsia="Times New Roman" w:hAnsi="Times New Roman"/>
          <w:color w:val="000000"/>
          <w:sz w:val="24"/>
          <w:szCs w:val="24"/>
          <w:vertAlign w:val="superscript"/>
          <w:rtl w:val="0"/>
        </w:rPr>
        <w:t xml:space="preserve">3</w:t>
      </w:r>
      <w:r w:rsidDel="00000000" w:rsidR="00000000" w:rsidRPr="00000000">
        <w:rPr>
          <w:rFonts w:ascii="Times New Roman" w:cs="Times New Roman" w:eastAsia="Times New Roman" w:hAnsi="Times New Roman"/>
          <w:color w:val="000000"/>
          <w:sz w:val="24"/>
          <w:szCs w:val="24"/>
          <w:rtl w:val="0"/>
        </w:rPr>
        <w:t xml:space="preserve">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no Cenário II (sem a fração de papel/papelão) os valores alcançados foram de 142.178 tCH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e de 199.128.727 m</w:t>
      </w:r>
      <w:r w:rsidDel="00000000" w:rsidR="00000000" w:rsidRPr="00000000">
        <w:rPr>
          <w:rFonts w:ascii="Times New Roman" w:cs="Times New Roman" w:eastAsia="Times New Roman" w:hAnsi="Times New Roman"/>
          <w:color w:val="000000"/>
          <w:sz w:val="24"/>
          <w:szCs w:val="24"/>
          <w:vertAlign w:val="superscript"/>
          <w:rtl w:val="0"/>
        </w:rPr>
        <w:t xml:space="preserve">3</w:t>
      </w:r>
      <w:r w:rsidDel="00000000" w:rsidR="00000000" w:rsidRPr="00000000">
        <w:rPr>
          <w:rFonts w:ascii="Times New Roman" w:cs="Times New Roman" w:eastAsia="Times New Roman" w:hAnsi="Times New Roman"/>
          <w:color w:val="000000"/>
          <w:sz w:val="24"/>
          <w:szCs w:val="24"/>
          <w:rtl w:val="0"/>
        </w:rPr>
        <w:t xml:space="preserve">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A diferença das massas e os volumes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entre os dois cenários representam uma diferença de aproximadamente de 28,4%.</w:t>
      </w:r>
    </w:p>
    <w:p w:rsidR="00000000" w:rsidDel="00000000" w:rsidP="00000000" w:rsidRDefault="00000000" w:rsidRPr="00000000" w14:paraId="000001BE">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 Tabela 8 são apresentados os resultados dos cálculos de potência e energia disponível para o período de 2025 a 2040, em função da vazão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Pode-se observar ao comparar os dois cenários que há uma redução na energia quando se opta pelo Cenário II (28,4%), o que corresponde a exclusão da fração papel/papelão, contudo, deve-se observar que a reciclagem não é incompatível com outros usos ou destinos de RSU. Isto é, embora afete o dimensionamento de projetos de outros usos dos resíduos como a recuperação energética (geração de energia elétrica), ou mesmo a disposição final, a reciclagem não se constitui, necessariamente, em rota excludente.</w:t>
      </w:r>
    </w:p>
    <w:p w:rsidR="00000000" w:rsidDel="00000000" w:rsidP="00000000" w:rsidRDefault="00000000" w:rsidRPr="00000000" w14:paraId="000001BF">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muitos países, a gestão de resíduos mudou muito na última década, principalmente em relação as políticas públicas de minimização de resíduos e reciclagem/reutilização introduzidas para reduzir a quantidade de resíduos gerados e aterrados, além disso, a recuperação de gases de aterros sanitários se tornou mais comum como uma medida para reduzir as emissões de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(IPCC, 2006).</w:t>
      </w:r>
    </w:p>
    <w:p w:rsidR="00000000" w:rsidDel="00000000" w:rsidP="00000000" w:rsidRDefault="00000000" w:rsidRPr="00000000" w14:paraId="000001C0">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1">
      <w:pPr>
        <w:spacing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2">
      <w:pPr>
        <w:spacing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Tabela 7</w:t>
      </w:r>
      <w:r w:rsidDel="00000000" w:rsidR="00000000" w:rsidRPr="00000000">
        <w:rPr>
          <w:rFonts w:ascii="Times New Roman" w:cs="Times New Roman" w:eastAsia="Times New Roman" w:hAnsi="Times New Roman"/>
          <w:color w:val="000000"/>
          <w:sz w:val="24"/>
          <w:szCs w:val="24"/>
          <w:rtl w:val="0"/>
        </w:rPr>
        <w:t xml:space="preserve">. Quantidade de CH</w:t>
      </w:r>
      <w:r w:rsidDel="00000000" w:rsidR="00000000" w:rsidRPr="00000000">
        <w:rPr>
          <w:rFonts w:ascii="Times New Roman" w:cs="Times New Roman" w:eastAsia="Times New Roman" w:hAnsi="Times New Roman"/>
          <w:color w:val="000000"/>
          <w:sz w:val="24"/>
          <w:szCs w:val="24"/>
          <w:vertAlign w:val="subscript"/>
          <w:rtl w:val="0"/>
        </w:rPr>
        <w:t xml:space="preserve">4 </w:t>
      </w:r>
      <w:r w:rsidDel="00000000" w:rsidR="00000000" w:rsidRPr="00000000">
        <w:rPr>
          <w:rFonts w:ascii="Times New Roman" w:cs="Times New Roman" w:eastAsia="Times New Roman" w:hAnsi="Times New Roman"/>
          <w:color w:val="000000"/>
          <w:sz w:val="24"/>
          <w:szCs w:val="24"/>
          <w:rtl w:val="0"/>
        </w:rPr>
        <w:t xml:space="preserve">gerado no Cenário I e II no período de 2025 a 2040</w:t>
      </w:r>
    </w:p>
    <w:tbl>
      <w:tblPr>
        <w:tblStyle w:val="Table7"/>
        <w:tblW w:w="7604.000000000001" w:type="dxa"/>
        <w:jc w:val="center"/>
        <w:tblLayout w:type="fixed"/>
        <w:tblLook w:val="0400"/>
      </w:tblPr>
      <w:tblGrid>
        <w:gridCol w:w="620"/>
        <w:gridCol w:w="1484"/>
        <w:gridCol w:w="1698"/>
        <w:gridCol w:w="620"/>
        <w:gridCol w:w="1484"/>
        <w:gridCol w:w="1698"/>
        <w:tblGridChange w:id="0">
          <w:tblGrid>
            <w:gridCol w:w="620"/>
            <w:gridCol w:w="1484"/>
            <w:gridCol w:w="1698"/>
            <w:gridCol w:w="620"/>
            <w:gridCol w:w="1484"/>
            <w:gridCol w:w="1698"/>
          </w:tblGrid>
        </w:tblGridChange>
      </w:tblGrid>
      <w:tr>
        <w:trPr>
          <w:cantSplit w:val="0"/>
          <w:trHeight w:val="315" w:hRule="atLeast"/>
          <w:tblHeader w:val="0"/>
        </w:trPr>
        <w:tc>
          <w:tcPr>
            <w:gridSpan w:val="3"/>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C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Cenário I</w:t>
            </w:r>
          </w:p>
        </w:tc>
        <w:tc>
          <w:tcPr>
            <w:gridSpan w:val="3"/>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1C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Cenário II</w:t>
            </w:r>
          </w:p>
        </w:tc>
      </w:tr>
      <w:tr>
        <w:trPr>
          <w:cantSplit w:val="0"/>
          <w:trHeight w:val="49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C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CB">
            <w:pPr>
              <w:spacing w:after="0" w:line="240" w:lineRule="auto"/>
              <w:jc w:val="center"/>
              <w:rPr>
                <w:rFonts w:ascii="Times New Roman" w:cs="Times New Roman" w:eastAsia="Times New Roman" w:hAnsi="Times New Roman"/>
                <w:b w:val="1"/>
                <w:color w:val="000000"/>
                <w:sz w:val="24"/>
                <w:szCs w:val="24"/>
                <w:vertAlign w:val="subscript"/>
              </w:rPr>
            </w:pPr>
            <w:r w:rsidDel="00000000" w:rsidR="00000000" w:rsidRPr="00000000">
              <w:rPr>
                <w:rFonts w:ascii="Times New Roman" w:cs="Times New Roman" w:eastAsia="Times New Roman" w:hAnsi="Times New Roman"/>
                <w:b w:val="1"/>
                <w:color w:val="000000"/>
                <w:sz w:val="24"/>
                <w:szCs w:val="24"/>
                <w:rtl w:val="0"/>
              </w:rPr>
              <w:t xml:space="preserve">tCH</w:t>
            </w:r>
            <w:r w:rsidDel="00000000" w:rsidR="00000000" w:rsidRPr="00000000">
              <w:rPr>
                <w:rFonts w:ascii="Times New Roman" w:cs="Times New Roman" w:eastAsia="Times New Roman" w:hAnsi="Times New Roman"/>
                <w:b w:val="1"/>
                <w:color w:val="000000"/>
                <w:sz w:val="24"/>
                <w:szCs w:val="24"/>
                <w:vertAlign w:val="subscript"/>
                <w:rtl w:val="0"/>
              </w:rPr>
              <w:t xml:space="preserve">4 </w:t>
            </w:r>
          </w:p>
          <w:p w:rsidR="00000000" w:rsidDel="00000000" w:rsidP="00000000" w:rsidRDefault="00000000" w:rsidRPr="00000000" w14:paraId="000001C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Gerado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CD">
            <w:pPr>
              <w:spacing w:after="0" w:line="240" w:lineRule="auto"/>
              <w:jc w:val="center"/>
              <w:rPr>
                <w:rFonts w:ascii="Times New Roman" w:cs="Times New Roman" w:eastAsia="Times New Roman" w:hAnsi="Times New Roman"/>
                <w:b w:val="1"/>
                <w:color w:val="000000"/>
                <w:sz w:val="24"/>
                <w:szCs w:val="24"/>
                <w:vertAlign w:val="subscript"/>
              </w:rPr>
            </w:pPr>
            <w:r w:rsidDel="00000000" w:rsidR="00000000" w:rsidRPr="00000000">
              <w:rPr>
                <w:rFonts w:ascii="Times New Roman" w:cs="Times New Roman" w:eastAsia="Times New Roman" w:hAnsi="Times New Roman"/>
                <w:b w:val="1"/>
                <w:color w:val="000000"/>
                <w:sz w:val="24"/>
                <w:szCs w:val="24"/>
                <w:rtl w:val="0"/>
              </w:rPr>
              <w:t xml:space="preserve">m</w:t>
            </w:r>
            <w:r w:rsidDel="00000000" w:rsidR="00000000" w:rsidRPr="00000000">
              <w:rPr>
                <w:rFonts w:ascii="Times New Roman" w:cs="Times New Roman" w:eastAsia="Times New Roman" w:hAnsi="Times New Roman"/>
                <w:b w:val="1"/>
                <w:color w:val="000000"/>
                <w:sz w:val="24"/>
                <w:szCs w:val="24"/>
                <w:vertAlign w:val="superscript"/>
                <w:rtl w:val="0"/>
              </w:rPr>
              <w:t xml:space="preserve">3</w:t>
            </w:r>
            <w:r w:rsidDel="00000000" w:rsidR="00000000" w:rsidRPr="00000000">
              <w:rPr>
                <w:rFonts w:ascii="Times New Roman" w:cs="Times New Roman" w:eastAsia="Times New Roman" w:hAnsi="Times New Roman"/>
                <w:b w:val="1"/>
                <w:color w:val="000000"/>
                <w:sz w:val="24"/>
                <w:szCs w:val="24"/>
                <w:rtl w:val="0"/>
              </w:rPr>
              <w:t xml:space="preserve">CH</w:t>
            </w:r>
            <w:r w:rsidDel="00000000" w:rsidR="00000000" w:rsidRPr="00000000">
              <w:rPr>
                <w:rFonts w:ascii="Times New Roman" w:cs="Times New Roman" w:eastAsia="Times New Roman" w:hAnsi="Times New Roman"/>
                <w:b w:val="1"/>
                <w:color w:val="000000"/>
                <w:sz w:val="24"/>
                <w:szCs w:val="24"/>
                <w:vertAlign w:val="subscript"/>
                <w:rtl w:val="0"/>
              </w:rPr>
              <w:t xml:space="preserve">4 </w:t>
            </w:r>
          </w:p>
          <w:p w:rsidR="00000000" w:rsidDel="00000000" w:rsidP="00000000" w:rsidRDefault="00000000" w:rsidRPr="00000000" w14:paraId="000001C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Gerado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C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D0">
            <w:pPr>
              <w:spacing w:after="0" w:line="240" w:lineRule="auto"/>
              <w:jc w:val="center"/>
              <w:rPr>
                <w:rFonts w:ascii="Times New Roman" w:cs="Times New Roman" w:eastAsia="Times New Roman" w:hAnsi="Times New Roman"/>
                <w:b w:val="1"/>
                <w:color w:val="000000"/>
                <w:sz w:val="24"/>
                <w:szCs w:val="24"/>
                <w:vertAlign w:val="subscript"/>
              </w:rPr>
            </w:pPr>
            <w:r w:rsidDel="00000000" w:rsidR="00000000" w:rsidRPr="00000000">
              <w:rPr>
                <w:rFonts w:ascii="Times New Roman" w:cs="Times New Roman" w:eastAsia="Times New Roman" w:hAnsi="Times New Roman"/>
                <w:b w:val="1"/>
                <w:color w:val="000000"/>
                <w:sz w:val="24"/>
                <w:szCs w:val="24"/>
                <w:rtl w:val="0"/>
              </w:rPr>
              <w:t xml:space="preserve">tCH</w:t>
            </w:r>
            <w:r w:rsidDel="00000000" w:rsidR="00000000" w:rsidRPr="00000000">
              <w:rPr>
                <w:rFonts w:ascii="Times New Roman" w:cs="Times New Roman" w:eastAsia="Times New Roman" w:hAnsi="Times New Roman"/>
                <w:b w:val="1"/>
                <w:color w:val="000000"/>
                <w:sz w:val="24"/>
                <w:szCs w:val="24"/>
                <w:vertAlign w:val="subscript"/>
                <w:rtl w:val="0"/>
              </w:rPr>
              <w:t xml:space="preserve">4 </w:t>
            </w:r>
          </w:p>
          <w:p w:rsidR="00000000" w:rsidDel="00000000" w:rsidP="00000000" w:rsidRDefault="00000000" w:rsidRPr="00000000" w14:paraId="000001D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Gerado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1D2">
            <w:pPr>
              <w:spacing w:after="0" w:line="240" w:lineRule="auto"/>
              <w:jc w:val="center"/>
              <w:rPr>
                <w:rFonts w:ascii="Times New Roman" w:cs="Times New Roman" w:eastAsia="Times New Roman" w:hAnsi="Times New Roman"/>
                <w:b w:val="1"/>
                <w:color w:val="000000"/>
                <w:sz w:val="24"/>
                <w:szCs w:val="24"/>
                <w:vertAlign w:val="subscript"/>
              </w:rPr>
            </w:pPr>
            <w:r w:rsidDel="00000000" w:rsidR="00000000" w:rsidRPr="00000000">
              <w:rPr>
                <w:rFonts w:ascii="Times New Roman" w:cs="Times New Roman" w:eastAsia="Times New Roman" w:hAnsi="Times New Roman"/>
                <w:b w:val="1"/>
                <w:color w:val="000000"/>
                <w:sz w:val="24"/>
                <w:szCs w:val="24"/>
                <w:rtl w:val="0"/>
              </w:rPr>
              <w:t xml:space="preserve">m</w:t>
            </w:r>
            <w:r w:rsidDel="00000000" w:rsidR="00000000" w:rsidRPr="00000000">
              <w:rPr>
                <w:rFonts w:ascii="Times New Roman" w:cs="Times New Roman" w:eastAsia="Times New Roman" w:hAnsi="Times New Roman"/>
                <w:b w:val="1"/>
                <w:color w:val="000000"/>
                <w:sz w:val="24"/>
                <w:szCs w:val="24"/>
                <w:vertAlign w:val="superscript"/>
                <w:rtl w:val="0"/>
              </w:rPr>
              <w:t xml:space="preserve">3</w:t>
            </w:r>
            <w:r w:rsidDel="00000000" w:rsidR="00000000" w:rsidRPr="00000000">
              <w:rPr>
                <w:rFonts w:ascii="Times New Roman" w:cs="Times New Roman" w:eastAsia="Times New Roman" w:hAnsi="Times New Roman"/>
                <w:b w:val="1"/>
                <w:color w:val="000000"/>
                <w:sz w:val="24"/>
                <w:szCs w:val="24"/>
                <w:rtl w:val="0"/>
              </w:rPr>
              <w:t xml:space="preserve">CH</w:t>
            </w:r>
            <w:r w:rsidDel="00000000" w:rsidR="00000000" w:rsidRPr="00000000">
              <w:rPr>
                <w:rFonts w:ascii="Times New Roman" w:cs="Times New Roman" w:eastAsia="Times New Roman" w:hAnsi="Times New Roman"/>
                <w:b w:val="1"/>
                <w:color w:val="000000"/>
                <w:sz w:val="24"/>
                <w:szCs w:val="24"/>
                <w:vertAlign w:val="subscript"/>
                <w:rtl w:val="0"/>
              </w:rPr>
              <w:t xml:space="preserve">4 </w:t>
            </w:r>
          </w:p>
          <w:p w:rsidR="00000000" w:rsidDel="00000000" w:rsidP="00000000" w:rsidRDefault="00000000" w:rsidRPr="00000000" w14:paraId="000001D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Gerado</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9647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13511428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6911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9679019</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10054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14080817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7202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D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10086905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10450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14635557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7486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10484297</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10836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15176733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7763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10871973</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11214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15705351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E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11250653</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11583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16222342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8297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11621004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11944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16728567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8556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11983643</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F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12299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17224826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8810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12339142</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12646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17711856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9059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12688030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12988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18190342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9304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0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13030798</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13324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18660916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9545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13367898</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13655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19124166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9782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13699751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13981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19580634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1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10015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14026745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14302</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20030824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2038</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10245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14349242</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14619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20475200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2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2039</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10473</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22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14667575</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2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2040</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22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14933</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23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20914193</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2040</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23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10697</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23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14982051</w:t>
            </w:r>
          </w:p>
        </w:tc>
      </w:tr>
    </w:tbl>
    <w:p w:rsidR="00000000" w:rsidDel="00000000" w:rsidP="00000000" w:rsidRDefault="00000000" w:rsidRPr="00000000" w14:paraId="00000234">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Tabela 8</w:t>
      </w:r>
      <w:r w:rsidDel="00000000" w:rsidR="00000000" w:rsidRPr="00000000">
        <w:rPr>
          <w:rFonts w:ascii="Times New Roman" w:cs="Times New Roman" w:eastAsia="Times New Roman" w:hAnsi="Times New Roman"/>
          <w:color w:val="000000"/>
          <w:sz w:val="24"/>
          <w:szCs w:val="24"/>
          <w:rtl w:val="0"/>
        </w:rPr>
        <w:t xml:space="preserve">.  Potência e energia disponíveis para os Cenários I e II</w:t>
      </w:r>
    </w:p>
    <w:tbl>
      <w:tblPr>
        <w:tblStyle w:val="Table8"/>
        <w:tblW w:w="8080.0" w:type="dxa"/>
        <w:jc w:val="center"/>
        <w:tblLayout w:type="fixed"/>
        <w:tblLook w:val="0400"/>
      </w:tblPr>
      <w:tblGrid>
        <w:gridCol w:w="620"/>
        <w:gridCol w:w="1671"/>
        <w:gridCol w:w="1678"/>
        <w:gridCol w:w="1096"/>
        <w:gridCol w:w="1671"/>
        <w:gridCol w:w="1344"/>
        <w:tblGridChange w:id="0">
          <w:tblGrid>
            <w:gridCol w:w="620"/>
            <w:gridCol w:w="1671"/>
            <w:gridCol w:w="1678"/>
            <w:gridCol w:w="1096"/>
            <w:gridCol w:w="1671"/>
            <w:gridCol w:w="1344"/>
          </w:tblGrid>
        </w:tblGridChange>
      </w:tblGrid>
      <w:tr>
        <w:trPr>
          <w:cantSplit w:val="0"/>
          <w:trHeight w:val="315" w:hRule="atLeast"/>
          <w:tblHeader w:val="0"/>
        </w:trPr>
        <w:tc>
          <w:tcPr>
            <w:gridSpan w:val="3"/>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3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Cenário I</w:t>
            </w:r>
          </w:p>
        </w:tc>
        <w:tc>
          <w:tcPr>
            <w:gridSpan w:val="3"/>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3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Cenário II</w:t>
            </w:r>
          </w:p>
        </w:tc>
      </w:tr>
      <w:tr>
        <w:trPr>
          <w:cantSplit w:val="0"/>
          <w:trHeight w:val="49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Potência (MW)</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Energia (MWh/dia)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3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Potência (MW)</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4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Energia (MWh/dia)</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59,0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4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63,9</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66,2</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5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68,5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98,8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70,8</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6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75,2</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107,9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77,3</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7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81,4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119,3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8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85,5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122,0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124,7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9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89,4</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2040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127,4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9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2040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12,7</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91,3</w:t>
            </w:r>
          </w:p>
        </w:tc>
      </w:tr>
    </w:tbl>
    <w:p w:rsidR="00000000" w:rsidDel="00000000" w:rsidP="00000000" w:rsidRDefault="00000000" w:rsidRPr="00000000" w14:paraId="000002A2">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3">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Certamente estes dados corroboram com o que já é feito no Aterro Dois Arcos que é o possível aproveitamento do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para queima e produção de energia. Na própria Lei 12.305 que instituiu a Política Nacional de Resíduos Sólidos, menciona o aproveitamento energético como destinação final adequada. Entretanto, trouxe também a necessidade da reciclagem como destinação final e a coleta seletiva dentre seus instrumentos, especificando-a como a coleta de resíduos sólidos previamente separados de acordo com sua constituição e composição. </w:t>
      </w:r>
    </w:p>
    <w:p w:rsidR="00000000" w:rsidDel="00000000" w:rsidP="00000000" w:rsidRDefault="00000000" w:rsidRPr="00000000" w14:paraId="000002A4">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Segundo ABREMA (2024) 60,5% das cidades brasileiras possuem iniciativas de coleta seletiva, mas na prática, toda cadeia que vai deste a separação, acondicionamento, coleta, tratamento e destinação final destes materiais, ainda carece de uma maior cobertura territorial, com isso, muitos destes resíduos não são reaproveitados pelos catadores e pelas indústrias de reciclagem, sendo depositados junto a fração matéria orgânica putrescível que geralmente são os restos de alimentos em aterros sanitários. Em grande parte dos aterros sanitários, não existe nenhum tipo de coleta e/ou separação destes materiais o que representa uma perda em termos energéticos, visto que estes poderiam voltar para a cadeia produtiva, e uma perda de vida útil dos aterros, uma vez que estes materiais ocupam um grande volume físico nas células dos aterros.</w:t>
      </w:r>
    </w:p>
    <w:p w:rsidR="00000000" w:rsidDel="00000000" w:rsidP="00000000" w:rsidRDefault="00000000" w:rsidRPr="00000000" w14:paraId="000002A5">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Utilizando os índices de economia de energia elétrica citados na Tabela 4, e a Tabela 6 que mostra a composição gravimétrica mássica dos materiais recicláveis pode-se obter os potenciais teóricos de conservação de energia elétrica para o consórcio (Tabela 9).</w:t>
      </w:r>
    </w:p>
    <w:p w:rsidR="00000000" w:rsidDel="00000000" w:rsidP="00000000" w:rsidRDefault="00000000" w:rsidRPr="00000000" w14:paraId="000002A6">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Tabela 9</w:t>
      </w:r>
      <w:r w:rsidDel="00000000" w:rsidR="00000000" w:rsidRPr="00000000">
        <w:rPr>
          <w:rFonts w:ascii="Times New Roman" w:cs="Times New Roman" w:eastAsia="Times New Roman" w:hAnsi="Times New Roman"/>
          <w:color w:val="000000"/>
          <w:sz w:val="24"/>
          <w:szCs w:val="24"/>
          <w:rtl w:val="0"/>
        </w:rPr>
        <w:t xml:space="preserve">. Potencial de energia elétrica conservada na reciclagem dos RSU do Consórcio</w:t>
      </w:r>
    </w:p>
    <w:tbl>
      <w:tblPr>
        <w:tblStyle w:val="Table9"/>
        <w:tblW w:w="6215.999999999999" w:type="dxa"/>
        <w:jc w:val="center"/>
        <w:tblLayout w:type="fixed"/>
        <w:tblLook w:val="0400"/>
      </w:tblPr>
      <w:tblGrid>
        <w:gridCol w:w="723"/>
        <w:gridCol w:w="1546"/>
        <w:gridCol w:w="1084"/>
        <w:gridCol w:w="723"/>
        <w:gridCol w:w="2140"/>
        <w:tblGridChange w:id="0">
          <w:tblGrid>
            <w:gridCol w:w="723"/>
            <w:gridCol w:w="1546"/>
            <w:gridCol w:w="1084"/>
            <w:gridCol w:w="723"/>
            <w:gridCol w:w="2140"/>
          </w:tblGrid>
        </w:tblGridChange>
      </w:tblGrid>
      <w:tr>
        <w:trPr>
          <w:cantSplit w:val="0"/>
          <w:trHeight w:val="315" w:hRule="atLeast"/>
          <w:tblHeader w:val="0"/>
        </w:trPr>
        <w:tc>
          <w:tcPr>
            <w:gridSpan w:val="5"/>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2A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Potencial de Energia Elétrica Conservada (MWh/dia) </w:t>
            </w:r>
          </w:p>
        </w:tc>
      </w:tr>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Calderoni</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AF">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Morris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0">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EPA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Warnken ISE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1062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2144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878</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885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2182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1099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B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2219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909</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1118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2257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2029</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2295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1155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946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2332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955</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1174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962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971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1193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977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2407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986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1211</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992</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2445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1001</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D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1230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2483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1017</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2035</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1248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1023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2520</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1032</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1267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1038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2558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1048</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2037</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E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1286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F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1053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F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2596</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1063</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F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F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1304</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F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1068</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2633</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F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1078</w:t>
            </w:r>
          </w:p>
        </w:tc>
      </w:tr>
      <w:tr>
        <w:trPr>
          <w:cantSplit w:val="0"/>
          <w:trHeight w:val="315" w:hRule="atLeast"/>
          <w:tblHeader w:val="0"/>
        </w:trPr>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2F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2039</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2F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1323</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2F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1084</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2F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2671</w:t>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2F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1094</w:t>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2040</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1342</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1099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2708</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1109</w:t>
            </w:r>
          </w:p>
        </w:tc>
      </w:tr>
    </w:tbl>
    <w:p w:rsidR="00000000" w:rsidDel="00000000" w:rsidP="00000000" w:rsidRDefault="00000000" w:rsidRPr="00000000" w14:paraId="00000302">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03">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Diante dos valores obtidos, para os diferentes índices levados em consideração para cada autor, fica claro a diferença entre estes. Sendo assim, optou-se pelos valores obtidos pelos índices de Morris por se tratar dos mais “conservadores”, uma vez que estes números são valores teóricos, que, na prática, e por diferentes razões, como as perdas naturais no processo de coleta e seleção, e as variações sazonais das proporções destes materiais ao longo do ano e dos anos, podem sofrer variações. De qualquer modo, esses números indicam que não se deve afastar a alternativa da reciclagem. E, não por acaso, a despeito de outros fatores de natureza socioeconômica, o índice de reciclagem no Brasil já é bastante alto para os materiais em que o índice de conservação por peso do material é mais elevado, como por exemplo, as latas de alumínio (metal), e as embalagens PET (plásticos).</w:t>
      </w:r>
    </w:p>
    <w:p w:rsidR="00000000" w:rsidDel="00000000" w:rsidP="00000000" w:rsidRDefault="00000000" w:rsidRPr="00000000" w14:paraId="00000304">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Na Figura 1, pode-se comparar a energia disponível no Cenário I, proveniente do modelo atual que corresponde ao aterro dos RSU sem qualquer tipo de reciclagem (1.694 MWh/dia), do Cenário II com a retirada da fração papel/papelão dos RSU do aterro (1.213 MWh/dia), do Cenário II proveniente exclusivamente da reciclagem (15.751 MWh/dia) e do Cenário II que envolve a soma das energias do CH</w:t>
      </w:r>
      <w:r w:rsidDel="00000000" w:rsidR="00000000" w:rsidRPr="00000000">
        <w:rPr>
          <w:rFonts w:ascii="Times New Roman" w:cs="Times New Roman" w:eastAsia="Times New Roman" w:hAnsi="Times New Roman"/>
          <w:color w:val="000000"/>
          <w:sz w:val="24"/>
          <w:szCs w:val="24"/>
          <w:vertAlign w:val="subscript"/>
          <w:rtl w:val="0"/>
        </w:rPr>
        <w:t xml:space="preserve">4</w:t>
      </w:r>
      <w:r w:rsidDel="00000000" w:rsidR="00000000" w:rsidRPr="00000000">
        <w:rPr>
          <w:rFonts w:ascii="Times New Roman" w:cs="Times New Roman" w:eastAsia="Times New Roman" w:hAnsi="Times New Roman"/>
          <w:color w:val="000000"/>
          <w:sz w:val="24"/>
          <w:szCs w:val="24"/>
          <w:rtl w:val="0"/>
        </w:rPr>
        <w:t xml:space="preserve"> proveniente do aterro sanitário com a exclusão da fração papel/papelão com a da reciclagem (16.964 MWh/dia). </w:t>
      </w:r>
    </w:p>
    <w:p w:rsidR="00000000" w:rsidDel="00000000" w:rsidP="00000000" w:rsidRDefault="00000000" w:rsidRPr="00000000" w14:paraId="00000305">
      <w:pPr>
        <w:spacing w:after="0" w:line="360" w:lineRule="auto"/>
        <w:jc w:val="center"/>
        <w:rPr>
          <w:rFonts w:ascii="Times New Roman" w:cs="Times New Roman" w:eastAsia="Times New Roman" w:hAnsi="Times New Roman"/>
          <w:color w:val="000000"/>
          <w:sz w:val="24"/>
          <w:szCs w:val="24"/>
        </w:rPr>
      </w:pPr>
      <w:r w:rsidDel="00000000" w:rsidR="00000000" w:rsidRPr="00000000">
        <w:rPr/>
        <w:drawing>
          <wp:inline distB="0" distT="0" distL="0" distR="0">
            <wp:extent cx="6067425" cy="2247900"/>
            <wp:docPr id="1816750921"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306">
      <w:pPr>
        <w:spacing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Figura 1</w:t>
      </w:r>
      <w:r w:rsidDel="00000000" w:rsidR="00000000" w:rsidRPr="00000000">
        <w:rPr>
          <w:rFonts w:ascii="Times New Roman" w:cs="Times New Roman" w:eastAsia="Times New Roman" w:hAnsi="Times New Roman"/>
          <w:color w:val="000000"/>
          <w:sz w:val="24"/>
          <w:szCs w:val="24"/>
          <w:rtl w:val="0"/>
        </w:rPr>
        <w:t xml:space="preserve">. Comparação das energias disponíveis para os Cenário I e II em MWh/dia</w:t>
      </w:r>
    </w:p>
    <w:p w:rsidR="00000000" w:rsidDel="00000000" w:rsidP="00000000" w:rsidRDefault="00000000" w:rsidRPr="00000000" w14:paraId="00000307">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Através da Figura 1, percebe-se através da comparação entre o Cenário I e II que representam somente a energia proveniente do biometano do aterro sanitário que os valores são muito menores em comparação a energia proveniente da reciclagem do Cenário II, mas que somada a energia do aterro e a energia da reciclagem (Cenário II) o valor se torna ainda mais expressivo.</w:t>
      </w:r>
    </w:p>
    <w:p w:rsidR="00000000" w:rsidDel="00000000" w:rsidP="00000000" w:rsidRDefault="00000000" w:rsidRPr="00000000" w14:paraId="00000308">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Dados do EPE (2025) mostram que houve um aumento de 1,9% do consumo final de energia em 2024 em relação a 2023, tendo os setores de transportes e o industrial como os líderes no País em termos de consumo de energia, correspondendo aos valores de 33,2% e 31,7%, respectivamente. No caso da energia elétrica, verificou-se crescimento na oferta interna de 39,7 TWh (+5,5%) em relação a 2023, tendo um crescimento de 1,2 Mtep no setor industrial, mostrando que uma parte da energia consumida para a produção de materiais e produtos recicláveis poderia ser conservada a partir da prática de reciclagem, aumentando a oferta interna de energia. </w:t>
      </w:r>
    </w:p>
    <w:p w:rsidR="00000000" w:rsidDel="00000000" w:rsidP="00000000" w:rsidRDefault="00000000" w:rsidRPr="00000000" w14:paraId="00000309">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Já o consumo de energia em 2024 nos transportes apresentou aumento de 2,7% em relação a 2023. Segundo o EPE (2025) a oferta interna de gás natural aumentou de 30,2 (2023) para 31,0 Mtep (2024) e por outro lado, a participação de fontes renováveis na matriz energética brasileira chegou ao patamar de 50% de renovabilidade, entretanto, o biogás contribuiu somente com 0,5% desta energia. Estes dados mostram a necessidade e a oportunidade de implementação desta transição energética, que envolve economia circular e descarbonização da economia com o uso do biometano como substituto de combustíveis fósseis na matriz energética nacional. O biometano pode ser comercializado de diversas formas: como gás natural comprimido (GNC) ou gás natural liquefeito (GNL), podendo ser amplamente empregado nos setores doméstico, industrial e veicular.  </w:t>
      </w:r>
    </w:p>
    <w:p w:rsidR="00000000" w:rsidDel="00000000" w:rsidP="00000000" w:rsidRDefault="00000000" w:rsidRPr="00000000" w14:paraId="0000030A">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Segundo a ABREMA (2024)</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atualmente o Brasil possui 1.365 plantas de produção de biogás, com 86% do volume de gás produzido sendo utilizado para geração de energia elétrica. Dessas plantas, cerca de 10% utilizam como substrato resíduos provenientes de saneamento (unidades em aterros sanitários e estações de tratamento de esgoto). Isso sugere um grande potencial de expansão do uso do RSU para geração de energias renováveis no país.</w:t>
      </w:r>
    </w:p>
    <w:p w:rsidR="00000000" w:rsidDel="00000000" w:rsidP="00000000" w:rsidRDefault="00000000" w:rsidRPr="00000000" w14:paraId="0000030B">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Conclusões</w:t>
      </w:r>
    </w:p>
    <w:p w:rsidR="00000000" w:rsidDel="00000000" w:rsidP="00000000" w:rsidRDefault="00000000" w:rsidRPr="00000000" w14:paraId="0000030C">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estudo evidencia o grande potencial energético dos Resíduos Sólidos Urbanos (RSU) gerados pelos municípios do consórcio do Aterro Sanitário de Dois Arcos, especialmente quando se considera a reciclagem como parte integrante da estratégia de aproveitamento energético. A comparação entre os cenários analisados mostra que, embora o biogás proveniente da decomposição orgânica seja uma fonte importante de energia, a reciclagem de materiais como papel/papelão, plástico, metal e vidro apresenta um potencial ainda maior de conservação energética, contribuindo significativamente para a redução de emissões de gases de efeito estufa e para a sustentabilidade do sistema.</w:t>
      </w:r>
    </w:p>
    <w:p w:rsidR="00000000" w:rsidDel="00000000" w:rsidP="00000000" w:rsidRDefault="00000000" w:rsidRPr="00000000" w14:paraId="0000030D">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implementação de políticas públicas que incentivem a coleta seletiva, a triagem e a reciclagem é essencial para transformar o modelo atual em um sistema mais eficiente, ambientalmente adequado e economicamente viável. Além disso, a valorização energética dos RSU por meio do biometano pode fortalecer a matriz energética nacional com fontes renováveis. Assim, a combinação entre reciclagem e recuperação energética se apresenta como caminho estratégico para promover a economia circular, aumentar a vida útil dos aterros e atender aos compromissos climáticos assumidos pelo país.</w:t>
      </w:r>
    </w:p>
    <w:p w:rsidR="00000000" w:rsidDel="00000000" w:rsidP="00000000" w:rsidRDefault="00000000" w:rsidRPr="00000000" w14:paraId="0000030E">
      <w:pPr>
        <w:spacing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Referências Bibliográficas</w:t>
      </w:r>
    </w:p>
    <w:p w:rsidR="00000000" w:rsidDel="00000000" w:rsidP="00000000" w:rsidRDefault="00000000" w:rsidRPr="00000000" w14:paraId="0000030F">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Pereira Jr., A.O. Aproveitamento Energético de Resíduos: Um Mercado Que Não Se Pode Descartar. Boletim Regional, Urbano e Ambiental, v. 24, 2020.</w:t>
      </w:r>
    </w:p>
    <w:p w:rsidR="00000000" w:rsidDel="00000000" w:rsidP="00000000" w:rsidRDefault="00000000" w:rsidRPr="00000000" w14:paraId="00000310">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ABREMA - Associação Brasileira de Resíduos e Meio Ambiente. Panorama dos Resíduos Sólidos no Brasil 2024. 84 p., 2024.</w:t>
      </w:r>
    </w:p>
    <w:p w:rsidR="00000000" w:rsidDel="00000000" w:rsidP="00000000" w:rsidRDefault="00000000" w:rsidRPr="00000000" w14:paraId="00000311">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Brasil. Lei 12.305, de 02 de agosto de 2010. Institui a Política Nacional de Resíduos Sólidos; altera a Lei n</w:t>
      </w:r>
      <w:r w:rsidDel="00000000" w:rsidR="00000000" w:rsidRPr="00000000">
        <w:rPr>
          <w:rFonts w:ascii="Times New Roman" w:cs="Times New Roman" w:eastAsia="Times New Roman" w:hAnsi="Times New Roman"/>
          <w:color w:val="000000"/>
          <w:sz w:val="24"/>
          <w:szCs w:val="24"/>
          <w:u w:val="single"/>
          <w:vertAlign w:val="superscript"/>
          <w:rtl w:val="0"/>
        </w:rPr>
        <w:t xml:space="preserve">o</w:t>
      </w:r>
      <w:r w:rsidDel="00000000" w:rsidR="00000000" w:rsidRPr="00000000">
        <w:rPr>
          <w:rFonts w:ascii="Times New Roman" w:cs="Times New Roman" w:eastAsia="Times New Roman" w:hAnsi="Times New Roman"/>
          <w:color w:val="000000"/>
          <w:sz w:val="24"/>
          <w:szCs w:val="24"/>
          <w:rtl w:val="0"/>
        </w:rPr>
        <w:t xml:space="preserve"> 9.605, de 12 de fevereiro de 1998; e dá outras providências. 17p., 2010.</w:t>
      </w:r>
    </w:p>
    <w:p w:rsidR="00000000" w:rsidDel="00000000" w:rsidP="00000000" w:rsidRDefault="00000000" w:rsidRPr="00000000" w14:paraId="00000312">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ONU - Organização das Nações Unidas. Os Objetivos de Desenvolvimento Sustentável. 2023. Nações Unidas Brasil. Disponível em: </w:t>
      </w:r>
      <w:hyperlink r:id="rId8">
        <w:r w:rsidDel="00000000" w:rsidR="00000000" w:rsidRPr="00000000">
          <w:rPr>
            <w:rFonts w:ascii="Times New Roman" w:cs="Times New Roman" w:eastAsia="Times New Roman" w:hAnsi="Times New Roman"/>
            <w:color w:val="0563c1"/>
            <w:sz w:val="24"/>
            <w:szCs w:val="24"/>
            <w:u w:val="single"/>
            <w:rtl w:val="0"/>
          </w:rPr>
          <w:t xml:space="preserve">https://brasil.un.org/pt-br/sdgs</w:t>
        </w:r>
      </w:hyperlink>
      <w:r w:rsidDel="00000000" w:rsidR="00000000" w:rsidRPr="00000000">
        <w:rPr>
          <w:rFonts w:ascii="Times New Roman" w:cs="Times New Roman" w:eastAsia="Times New Roman" w:hAnsi="Times New Roman"/>
          <w:color w:val="000000"/>
          <w:sz w:val="24"/>
          <w:szCs w:val="24"/>
          <w:rtl w:val="0"/>
        </w:rPr>
        <w:t xml:space="preserve">. Acesso em: 30 jan. 2025.</w:t>
      </w:r>
    </w:p>
    <w:p w:rsidR="00000000" w:rsidDel="00000000" w:rsidP="00000000" w:rsidRDefault="00000000" w:rsidRPr="00000000" w14:paraId="00000313">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EPE – Empresa de Pesquisa Energética. Avaliação Preliminar do Aproveitamento Energético dos Resíduos Sólidos Urbanos de Campo Grande, MS. Série Recursos Energéticos, Nota Técnica Den 06/08, 77 p., 2008.</w:t>
      </w:r>
    </w:p>
    <w:p w:rsidR="00000000" w:rsidDel="00000000" w:rsidP="00000000" w:rsidRDefault="00000000" w:rsidRPr="00000000" w14:paraId="00000314">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SNIS – Sistema Nacional de Informações sobre Saneamento. Painel de Indicadores, 2025.</w:t>
      </w:r>
    </w:p>
    <w:p w:rsidR="00000000" w:rsidDel="00000000" w:rsidP="00000000" w:rsidRDefault="00000000" w:rsidRPr="00000000" w14:paraId="00000315">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IBGE - Instituto Brasileiro de Geografia e Estatística. Censo Demográfico, 2025.</w:t>
      </w:r>
    </w:p>
    <w:p w:rsidR="00000000" w:rsidDel="00000000" w:rsidP="00000000" w:rsidRDefault="00000000" w:rsidRPr="00000000" w14:paraId="0000031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Serenco - Serviços de Engenharia Consultiva. Elaboração de Estudos e Projetos Para Consecução dos Planos Municipais de Saneamento Básico, 2013.</w:t>
      </w:r>
    </w:p>
    <w:p w:rsidR="00000000" w:rsidDel="00000000" w:rsidP="00000000" w:rsidRDefault="00000000" w:rsidRPr="00000000" w14:paraId="0000031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IPCC - Intergovernmental Panel on Climate Change. Guidelines for National Greenhouse Gas Inventories, v. 5 - Waste, Chapter 3 - Solid Waste Disposal, 2006.</w:t>
      </w:r>
    </w:p>
    <w:p w:rsidR="00000000" w:rsidDel="00000000" w:rsidP="00000000" w:rsidRDefault="00000000" w:rsidRPr="00000000" w14:paraId="0000031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Calderoni, S. Os bilhões perdidos no lixo, 1a ed. São Paulo: Humanitas Editora, 1996. </w:t>
      </w:r>
    </w:p>
    <w:p w:rsidR="00000000" w:rsidDel="00000000" w:rsidP="00000000" w:rsidRDefault="00000000" w:rsidRPr="00000000" w14:paraId="00000319">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EPA. U. S. Environmental Protection Agency. Waste Reduction Model. Washington, DC: EPA, 2007.</w:t>
      </w:r>
    </w:p>
    <w:p w:rsidR="00000000" w:rsidDel="00000000" w:rsidP="00000000" w:rsidRDefault="00000000" w:rsidRPr="00000000" w14:paraId="0000031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Morris, J. Recycling Versus Incineration: An Energy Conservation Analysis, Journal of Hazardous Materials, vol. 47, p. 277-293, 1996.</w:t>
      </w:r>
    </w:p>
    <w:p w:rsidR="00000000" w:rsidDel="00000000" w:rsidP="00000000" w:rsidRDefault="00000000" w:rsidRPr="00000000" w14:paraId="0000031B">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Warnken ISE. Potential for Greenhouse Gas Abatement from Waste Management and Resource Recovery Activities in Australia. Final Report, 54p. Sydney, NSW: Warnken ISE/SITA, 2007.</w:t>
      </w:r>
    </w:p>
    <w:p w:rsidR="00000000" w:rsidDel="00000000" w:rsidP="00000000" w:rsidRDefault="00000000" w:rsidRPr="00000000" w14:paraId="0000031C">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Monteiro, J.H.P. et al. Manual de Gerenciamento Integrado de Resíduos Sólidos. Rio de Janeiro: IBAM, 2001.</w:t>
      </w:r>
    </w:p>
    <w:p w:rsidR="00000000" w:rsidDel="00000000" w:rsidP="00000000" w:rsidRDefault="00000000" w:rsidRPr="00000000" w14:paraId="0000031D">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SISEMA - Sistema Estadual de Meio Ambiente e Recursos Hídricos. Caracterização gravimétrica dos resíduos sólidos urbanos do Estado de Minas Gerais. Vol. II, Belo Horizonte, 2017. </w:t>
      </w:r>
    </w:p>
    <w:p w:rsidR="00000000" w:rsidDel="00000000" w:rsidP="00000000" w:rsidRDefault="00000000" w:rsidRPr="00000000" w14:paraId="0000031E">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EPE - Empresa de Pesquisa Energética. Balanço Energético Nacional. Relatório Síntese 2025 – Ano Base 2024, 74 p., 2025.</w:t>
      </w:r>
    </w:p>
    <w:p w:rsidR="00000000" w:rsidDel="00000000" w:rsidP="00000000" w:rsidRDefault="00000000" w:rsidRPr="00000000" w14:paraId="0000031F">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0">
      <w:pPr>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sectPr>
      <w:pgSz w:h="16838" w:w="11906" w:orient="portrait"/>
      <w:pgMar w:bottom="1417" w:top="567" w:left="567"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Times"/>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har"/>
    <w:unhideWhenUsed w:val="1"/>
    <w:qFormat w:val="1"/>
    <w:rsid w:val="00C6462D"/>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nhideWhenUsed w:val="1"/>
    <w:qFormat w:val="1"/>
    <w:rsid w:val="00C6462D"/>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nhideWhenUsed w:val="1"/>
    <w:qFormat w:val="1"/>
    <w:rsid w:val="00C6462D"/>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C6462D"/>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link w:val="Ttulo2"/>
    <w:uiPriority w:val="9"/>
    <w:semiHidden w:val="1"/>
    <w:rsid w:val="00C6462D"/>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link w:val="Ttulo3"/>
    <w:uiPriority w:val="9"/>
    <w:semiHidden w:val="1"/>
    <w:rsid w:val="00C6462D"/>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C6462D"/>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C6462D"/>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C6462D"/>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C6462D"/>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C6462D"/>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C6462D"/>
    <w:rPr>
      <w:rFonts w:cstheme="majorBidi" w:eastAsiaTheme="majorEastAsia"/>
      <w:color w:val="272727" w:themeColor="text1" w:themeTint="0000D8"/>
    </w:rPr>
  </w:style>
  <w:style w:type="character" w:styleId="TtuloChar" w:customStyle="1">
    <w:name w:val="Título Char"/>
    <w:basedOn w:val="Fontepargpadro"/>
    <w:link w:val="Ttulo"/>
    <w:uiPriority w:val="10"/>
    <w:rsid w:val="00C6462D"/>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C6462D"/>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C6462D"/>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C6462D"/>
    <w:rPr>
      <w:i w:val="1"/>
      <w:iCs w:val="1"/>
      <w:color w:val="404040" w:themeColor="text1" w:themeTint="0000BF"/>
    </w:rPr>
  </w:style>
  <w:style w:type="paragraph" w:styleId="PargrafodaLista">
    <w:name w:val="List Paragraph"/>
    <w:basedOn w:val="Normal"/>
    <w:uiPriority w:val="34"/>
    <w:qFormat w:val="1"/>
    <w:rsid w:val="00C6462D"/>
    <w:pPr>
      <w:ind w:left="720"/>
      <w:contextualSpacing w:val="1"/>
    </w:pPr>
  </w:style>
  <w:style w:type="character" w:styleId="nfaseIntensa">
    <w:name w:val="Intense Emphasis"/>
    <w:basedOn w:val="Fontepargpadro"/>
    <w:uiPriority w:val="21"/>
    <w:qFormat w:val="1"/>
    <w:rsid w:val="00C6462D"/>
    <w:rPr>
      <w:i w:val="1"/>
      <w:iCs w:val="1"/>
      <w:color w:val="2f5496" w:themeColor="accent1" w:themeShade="0000BF"/>
    </w:rPr>
  </w:style>
  <w:style w:type="paragraph" w:styleId="CitaoIntensa">
    <w:name w:val="Intense Quote"/>
    <w:basedOn w:val="Normal"/>
    <w:next w:val="Normal"/>
    <w:link w:val="CitaoIntensaChar"/>
    <w:uiPriority w:val="30"/>
    <w:qFormat w:val="1"/>
    <w:rsid w:val="00C6462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C6462D"/>
    <w:rPr>
      <w:i w:val="1"/>
      <w:iCs w:val="1"/>
      <w:color w:val="2f5496" w:themeColor="accent1" w:themeShade="0000BF"/>
    </w:rPr>
  </w:style>
  <w:style w:type="character" w:styleId="RefernciaIntensa">
    <w:name w:val="Intense Reference"/>
    <w:basedOn w:val="Fontepargpadro"/>
    <w:uiPriority w:val="32"/>
    <w:qFormat w:val="1"/>
    <w:rsid w:val="00C6462D"/>
    <w:rPr>
      <w:b w:val="1"/>
      <w:bCs w:val="1"/>
      <w:smallCaps w:val="1"/>
      <w:color w:val="2f5496" w:themeColor="accent1" w:themeShade="0000BF"/>
      <w:spacing w:val="5"/>
    </w:rPr>
  </w:style>
  <w:style w:type="paragraph" w:styleId="Abstract" w:customStyle="1">
    <w:name w:val="Abstract"/>
    <w:basedOn w:val="Normal"/>
    <w:rsid w:val="00C6462D"/>
    <w:pPr>
      <w:tabs>
        <w:tab w:val="left" w:pos="720"/>
      </w:tabs>
      <w:spacing w:after="120" w:before="120" w:line="240" w:lineRule="auto"/>
      <w:ind w:left="454" w:right="454"/>
      <w:jc w:val="both"/>
    </w:pPr>
    <w:rPr>
      <w:rFonts w:ascii="Times" w:cs="Times New Roman" w:eastAsia="Times New Roman" w:hAnsi="Times"/>
      <w:i w:val="1"/>
      <w:kern w:val="0"/>
      <w:sz w:val="24"/>
      <w:szCs w:val="24"/>
      <w:lang w:eastAsia="pt-BR"/>
    </w:rPr>
  </w:style>
  <w:style w:type="character" w:styleId="Hyperlink">
    <w:name w:val="Hyperlink"/>
    <w:basedOn w:val="Fontepargpadro"/>
    <w:uiPriority w:val="99"/>
    <w:unhideWhenUsed w:val="1"/>
    <w:rsid w:val="00E60EE9"/>
    <w:rPr>
      <w:color w:val="0563c1" w:themeColor="hyperlink"/>
      <w:u w:val="single"/>
    </w:rPr>
  </w:style>
  <w:style w:type="character" w:styleId="MenoPendente1" w:customStyle="1">
    <w:name w:val="Menção Pendente1"/>
    <w:basedOn w:val="Fontepargpadro"/>
    <w:uiPriority w:val="99"/>
    <w:semiHidden w:val="1"/>
    <w:unhideWhenUsed w:val="1"/>
    <w:rsid w:val="00E60EE9"/>
    <w:rPr>
      <w:color w:val="605e5c"/>
      <w:shd w:color="auto" w:fill="e1dfdd" w:val="clear"/>
    </w:rPr>
  </w:style>
  <w:style w:type="paragraph" w:styleId="Cabealho">
    <w:name w:val="header"/>
    <w:basedOn w:val="Normal"/>
    <w:link w:val="CabealhoChar"/>
    <w:uiPriority w:val="99"/>
    <w:unhideWhenUsed w:val="1"/>
    <w:rsid w:val="00B50B2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50B25"/>
  </w:style>
  <w:style w:type="paragraph" w:styleId="Rodap">
    <w:name w:val="footer"/>
    <w:basedOn w:val="Normal"/>
    <w:link w:val="RodapChar"/>
    <w:uiPriority w:val="99"/>
    <w:unhideWhenUsed w:val="1"/>
    <w:rsid w:val="00B50B25"/>
    <w:pPr>
      <w:tabs>
        <w:tab w:val="center" w:pos="4252"/>
        <w:tab w:val="right" w:pos="8504"/>
      </w:tabs>
      <w:spacing w:after="0" w:line="240" w:lineRule="auto"/>
    </w:pPr>
  </w:style>
  <w:style w:type="character" w:styleId="RodapChar" w:customStyle="1">
    <w:name w:val="Rodapé Char"/>
    <w:basedOn w:val="Fontepargpadro"/>
    <w:link w:val="Rodap"/>
    <w:uiPriority w:val="99"/>
    <w:rsid w:val="00B50B25"/>
  </w:style>
  <w:style w:type="paragraph" w:styleId="Reference" w:customStyle="1">
    <w:name w:val="Reference"/>
    <w:basedOn w:val="Normal"/>
    <w:rsid w:val="00E73AE8"/>
    <w:pPr>
      <w:tabs>
        <w:tab w:val="left" w:pos="720"/>
      </w:tabs>
      <w:spacing w:after="0" w:before="120" w:line="240" w:lineRule="auto"/>
      <w:ind w:left="284" w:hanging="284"/>
      <w:jc w:val="both"/>
    </w:pPr>
    <w:rPr>
      <w:rFonts w:ascii="Times" w:cs="Times New Roman" w:eastAsia="Times New Roman" w:hAnsi="Times"/>
      <w:kern w:val="0"/>
      <w:sz w:val="24"/>
      <w:szCs w:val="20"/>
      <w:lang w:eastAsia="pt-BR" w:val="en-US"/>
    </w:rPr>
  </w:style>
  <w:style w:type="character" w:styleId="hps" w:customStyle="1">
    <w:name w:val="hps"/>
    <w:basedOn w:val="Fontepargpadro"/>
    <w:rsid w:val="00B202D7"/>
  </w:style>
  <w:style w:type="character" w:styleId="TextodoEspaoReservado">
    <w:name w:val="Placeholder Text"/>
    <w:basedOn w:val="Fontepargpadro"/>
    <w:uiPriority w:val="99"/>
    <w:semiHidden w:val="1"/>
    <w:rsid w:val="000314F1"/>
    <w:rPr>
      <w:color w:val="666666"/>
    </w:rPr>
  </w:style>
  <w:style w:type="paragraph" w:styleId="Corpodetexto">
    <w:name w:val="Body Text"/>
    <w:basedOn w:val="Normal"/>
    <w:link w:val="CorpodetextoChar"/>
    <w:semiHidden w:val="1"/>
    <w:rsid w:val="00D04816"/>
    <w:pPr>
      <w:spacing w:after="0" w:line="240" w:lineRule="auto"/>
      <w:jc w:val="both"/>
    </w:pPr>
    <w:rPr>
      <w:rFonts w:ascii="Arial" w:cs="Times New Roman" w:eastAsia="Times New Roman" w:hAnsi="Arial"/>
      <w:kern w:val="0"/>
      <w:sz w:val="24"/>
      <w:szCs w:val="24"/>
      <w:lang w:eastAsia="pt-BR"/>
    </w:rPr>
  </w:style>
  <w:style w:type="character" w:styleId="CorpodetextoChar" w:customStyle="1">
    <w:name w:val="Corpo de texto Char"/>
    <w:basedOn w:val="Fontepargpadro"/>
    <w:link w:val="Corpodetexto"/>
    <w:semiHidden w:val="1"/>
    <w:rsid w:val="00D04816"/>
    <w:rPr>
      <w:rFonts w:ascii="Arial" w:cs="Times New Roman" w:eastAsia="Times New Roman" w:hAnsi="Arial"/>
      <w:kern w:val="0"/>
      <w:sz w:val="24"/>
      <w:szCs w:val="24"/>
      <w:lang w:eastAsia="pt-BR"/>
    </w:rPr>
  </w:style>
  <w:style w:type="paragraph" w:styleId="Textodebalo">
    <w:name w:val="Balloon Text"/>
    <w:basedOn w:val="Normal"/>
    <w:link w:val="TextodebaloChar"/>
    <w:uiPriority w:val="99"/>
    <w:semiHidden w:val="1"/>
    <w:unhideWhenUsed w:val="1"/>
    <w:rsid w:val="00B65176"/>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B65176"/>
    <w:rPr>
      <w:rFonts w:ascii="Tahoma" w:cs="Tahoma" w:hAnsi="Tahoma"/>
      <w:sz w:val="16"/>
      <w:szCs w:val="16"/>
    </w:rPr>
  </w:style>
  <w:style w:type="character" w:styleId="Refdecomentrio">
    <w:name w:val="annotation reference"/>
    <w:basedOn w:val="Fontepargpadro"/>
    <w:uiPriority w:val="99"/>
    <w:semiHidden w:val="1"/>
    <w:unhideWhenUsed w:val="1"/>
    <w:rsid w:val="005E36E6"/>
    <w:rPr>
      <w:sz w:val="16"/>
      <w:szCs w:val="16"/>
    </w:rPr>
  </w:style>
  <w:style w:type="paragraph" w:styleId="Textodecomentrio">
    <w:name w:val="annotation text"/>
    <w:basedOn w:val="Normal"/>
    <w:link w:val="TextodecomentrioChar"/>
    <w:uiPriority w:val="99"/>
    <w:semiHidden w:val="1"/>
    <w:unhideWhenUsed w:val="1"/>
    <w:rsid w:val="005E36E6"/>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5E36E6"/>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5E36E6"/>
    <w:rPr>
      <w:b w:val="1"/>
      <w:bCs w:val="1"/>
    </w:rPr>
  </w:style>
  <w:style w:type="character" w:styleId="AssuntodocomentrioChar" w:customStyle="1">
    <w:name w:val="Assunto do comentário Char"/>
    <w:basedOn w:val="TextodecomentrioChar"/>
    <w:link w:val="Assuntodocomentrio"/>
    <w:uiPriority w:val="99"/>
    <w:semiHidden w:val="1"/>
    <w:rsid w:val="005E36E6"/>
    <w:rPr>
      <w:b w:val="1"/>
      <w:bCs w:val="1"/>
      <w:sz w:val="20"/>
      <w:szCs w:val="2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hyperlink" Target="https://brasil.un.org/pt-br/sdg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User\Desktop\CIRS%20-%20B&#250;zios\Dados%20do%20Artig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862894885392072"/>
          <c:y val="6.2146892655367235E-2"/>
          <c:w val="0.54416016679233781"/>
          <c:h val="0.87570621468926557"/>
        </c:manualLayout>
      </c:layout>
      <c:barChart>
        <c:barDir val="bar"/>
        <c:grouping val="clustered"/>
        <c:varyColors val="0"/>
        <c:ser>
          <c:idx val="0"/>
          <c:order val="0"/>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tx1"/>
              </a:solidFill>
              <a:prstDash val="soli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1000" b="1" i="0" u="none" strike="noStrike" baseline="0">
                    <a:solidFill>
                      <a:schemeClr val="tx1"/>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 Energia Cenário I e II '!$F$1:$I$1</c:f>
              <c:strCache>
                <c:ptCount val="4"/>
                <c:pt idx="0">
                  <c:v>Energia do Aterro (Cenário I)</c:v>
                </c:pt>
                <c:pt idx="1">
                  <c:v>Energia do Aterro (Cenário II) </c:v>
                </c:pt>
                <c:pt idx="2">
                  <c:v>Energia da Reciclagem (Cenário II)</c:v>
                </c:pt>
                <c:pt idx="3">
                  <c:v>Energia do Aterro + Reciclagem (Cenário II)</c:v>
                </c:pt>
              </c:strCache>
            </c:strRef>
          </c:cat>
          <c:val>
            <c:numRef>
              <c:f>'Gráfico Energia Cenário I e II '!$F$2:$I$2</c:f>
              <c:numCache>
                <c:formatCode>0</c:formatCode>
                <c:ptCount val="4"/>
                <c:pt idx="0">
                  <c:v>1693.6119703609902</c:v>
                </c:pt>
                <c:pt idx="1">
                  <c:v>1213.23252879078</c:v>
                </c:pt>
                <c:pt idx="2">
                  <c:v>15751.242798143145</c:v>
                </c:pt>
                <c:pt idx="3">
                  <c:v>16964.475326933923</c:v>
                </c:pt>
              </c:numCache>
            </c:numRef>
          </c:val>
          <c:extLst>
            <c:ext xmlns:c16="http://schemas.microsoft.com/office/drawing/2014/chart" uri="{C3380CC4-5D6E-409C-BE32-E72D297353CC}">
              <c16:uniqueId val="{00000000-6655-4B85-A2DE-056062A9A09B}"/>
            </c:ext>
          </c:extLst>
        </c:ser>
        <c:dLbls>
          <c:showLegendKey val="0"/>
          <c:showVal val="1"/>
          <c:showCatName val="0"/>
          <c:showSerName val="0"/>
          <c:showPercent val="0"/>
          <c:showBubbleSize val="0"/>
        </c:dLbls>
        <c:gapWidth val="6"/>
        <c:axId val="1147182479"/>
        <c:axId val="1147183919"/>
      </c:barChart>
      <c:catAx>
        <c:axId val="11471824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147183919"/>
        <c:crosses val="autoZero"/>
        <c:auto val="1"/>
        <c:lblAlgn val="ctr"/>
        <c:lblOffset val="100"/>
        <c:noMultiLvlLbl val="0"/>
      </c:catAx>
      <c:valAx>
        <c:axId val="1147183919"/>
        <c:scaling>
          <c:orientation val="minMax"/>
        </c:scaling>
        <c:delete val="1"/>
        <c:axPos val="b"/>
        <c:numFmt formatCode="0" sourceLinked="1"/>
        <c:majorTickMark val="none"/>
        <c:minorTickMark val="none"/>
        <c:tickLblPos val="nextTo"/>
        <c:crossAx val="114718247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OgKDUa5yesOdM3lHhFEAxUOnqw==">CgMxLjAyDmgueXB2NmtoYzNxOWU5OAByITFHTHpPZTJvWTVJZVFabkJDVzYxc1dyQnZ1c0J2NXBHdQ==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2025-07-26T11:38:00Z</dcterms:created>
  <dc:creator>Diego Veneu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626f24f9-c7b5-4363-a0fa-72c0e35a4126</vt:lpwstr>
  </property>
</Properties>
</file>