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Construção Sustentável: Revestimentos e Pisos para a Indústria Civil à Base de PEAD e Resíduos de Rocha Ornamental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Roberto Carlos Ribeiro</w:t>
      </w:r>
    </w:p>
    <w:p w:rsidR="00000000" w:rsidDel="00000000" w:rsidP="00000000" w:rsidRDefault="00000000" w:rsidRPr="00000000" w14:paraId="00000004">
      <w:pPr>
        <w:spacing w:line="240" w:lineRule="auto"/>
        <w:jc w:val="cente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Daniele Cruz Bastos</w:t>
      </w:r>
    </w:p>
    <w:p w:rsidR="00000000" w:rsidDel="00000000" w:rsidP="00000000" w:rsidRDefault="00000000" w:rsidRPr="00000000" w14:paraId="00000006">
      <w:pPr>
        <w:spacing w:line="240" w:lineRule="auto"/>
        <w:jc w:val="center"/>
        <w:rPr>
          <w:rFonts w:ascii="Times New Roman" w:cs="Times New Roman" w:eastAsia="Times New Roman" w:hAnsi="Times New Roman"/>
          <w:color w:val="222222"/>
          <w:sz w:val="24"/>
          <w:szCs w:val="24"/>
          <w:highlight w:val="white"/>
          <w:vertAlign w:val="superscript"/>
        </w:rPr>
      </w:pPr>
      <w:r w:rsidDel="00000000" w:rsidR="00000000" w:rsidRPr="00000000">
        <w:rPr>
          <w:rFonts w:ascii="Times New Roman" w:cs="Times New Roman" w:eastAsia="Times New Roman" w:hAnsi="Times New Roman"/>
          <w:color w:val="222222"/>
          <w:sz w:val="24"/>
          <w:szCs w:val="24"/>
          <w:highlight w:val="white"/>
          <w:rtl w:val="0"/>
        </w:rPr>
        <w:t xml:space="preserve"> Pedro Afonso de Moraes Paes</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Este trabalho apresenta uma maneira alternativa de lidar com questões ambientais através da utilização de materiais de baixo impacto na construção. Foram desenvolvidas três formulações de PEAD com dois tipos diferentes de resíduos de rocha ornamental (Mármore Bege Bahia e Calcário Cariri), variando-se também o diâmetro da carga e o índice de fluidez do PEAD. Foram processados compósitos com 70/30% de polímero/carga, realizando-se ensaios de porosidade, densidade, dureza e impacto.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revestimentos desenvolvidos apresentaram resultados satisfatórios de propriedades mecânicas quando comparados ao PEAD sem carga. A formulação A4, composta por PEAD, com MFI de 7 g/10min e diâmetros de BB 20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&lt; 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&lt; 44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apresentou melhores propriedades, sendo a mais indicada para a aplicação sugerida. O desenvolvimento de um produto acabado permitirá sua ampla aplicação em engenharia civil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Mármore Bege Bahia, calcário do Rio Grande do Norte, resíduos de rochas ornamentais.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0E">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primeiras construções foram desenvolvidas apenas para proteger a vida humana contra condições externas como chuva, vento ou animais, utilizando materiais efêmeros, incluindo galhos e peles de animais. Hoje em dia, os participantes da indústria da construção estão prestando atenção específica aos fatores ambientais para minimizar o impacto ambiental (Barros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2020; J-Garcia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2023).</w:t>
      </w:r>
    </w:p>
    <w:p w:rsidR="00000000" w:rsidDel="00000000" w:rsidP="00000000" w:rsidRDefault="00000000" w:rsidRPr="00000000" w14:paraId="0000000F">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Existem diferentes trabalhos de pesquisa focados no design de novos materiais de construção, com destaque especial para a nanotecnologia, a utilização de misturas minerais, assim como outros compostos como vidro, plástico, materiais biológicos, madeira e até algumas formulações que incluem argila e outras adições como cascas de café, buscando o aumento dos indicadores de sustentabilidade e confiabilidade, redução de custos e melhor desempenho nas características mecânicas e físicas (</w:t>
      </w:r>
      <w:r w:rsidDel="00000000" w:rsidR="00000000" w:rsidRPr="00000000">
        <w:rPr>
          <w:rFonts w:ascii="Times New Roman" w:cs="Times New Roman" w:eastAsia="Times New Roman" w:hAnsi="Times New Roman"/>
          <w:smallCaps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amigboye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2019; Barros et al., 2020; J-Garcia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2023, </w:t>
      </w:r>
      <w:r w:rsidDel="00000000" w:rsidR="00000000" w:rsidRPr="00000000">
        <w:rPr>
          <w:rFonts w:ascii="Times New Roman" w:cs="Times New Roman" w:eastAsia="Times New Roman" w:hAnsi="Times New Roman"/>
          <w:smallCaps w:val="1"/>
          <w:sz w:val="24"/>
          <w:szCs w:val="24"/>
          <w:rtl w:val="0"/>
        </w:rPr>
        <w:t xml:space="preserve">J</w:t>
      </w:r>
      <w:r w:rsidDel="00000000" w:rsidR="00000000" w:rsidRPr="00000000">
        <w:rPr>
          <w:rFonts w:ascii="Times New Roman" w:cs="Times New Roman" w:eastAsia="Times New Roman" w:hAnsi="Times New Roman"/>
          <w:sz w:val="24"/>
          <w:szCs w:val="24"/>
          <w:rtl w:val="0"/>
        </w:rPr>
        <w:t xml:space="preserve">aramillo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2023).</w:t>
      </w:r>
    </w:p>
    <w:p w:rsidR="00000000" w:rsidDel="00000000" w:rsidP="00000000" w:rsidRDefault="00000000" w:rsidRPr="00000000" w14:paraId="00000010">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trabalho desenvolvido por C-Michalak </w:t>
      </w:r>
      <w:r w:rsidDel="00000000" w:rsidR="00000000" w:rsidRPr="00000000">
        <w:rPr>
          <w:rFonts w:ascii="Times New Roman" w:cs="Times New Roman" w:eastAsia="Times New Roman" w:hAnsi="Times New Roman"/>
          <w:i w:val="1"/>
          <w:rtl w:val="0"/>
        </w:rPr>
        <w:t xml:space="preserve">et al.</w:t>
      </w:r>
      <w:r w:rsidDel="00000000" w:rsidR="00000000" w:rsidRPr="00000000">
        <w:rPr>
          <w:rFonts w:ascii="Times New Roman" w:cs="Times New Roman" w:eastAsia="Times New Roman" w:hAnsi="Times New Roman"/>
          <w:rtl w:val="0"/>
        </w:rPr>
        <w:t xml:space="preserve"> (2022) investigou-se o efeito da substituição de uma parte da resina epóxi e agente de cura por pó de calcário residual. Um revestimento epóxi usado como revestimento de piso foram examinadas, com as seguintes propriedades sendo testadas: viscosidade, dureza, resistência à tração, resistência à flexão, resistência à tração e microestrutura do revestimento e substrato de concreto. Os resultados fornecem evidências promissoras para o uso de resíduos de pó de calcário como aditivo ao revestimento epóxi. O revestimento epóxi modificado apresentou por uma boa adesão ao substrato, e não possui dureza inferior. A redução da resistência à tração e à flexão não foi vista como um problema. </w:t>
      </w:r>
    </w:p>
    <w:p w:rsidR="00000000" w:rsidDel="00000000" w:rsidP="00000000" w:rsidRDefault="00000000" w:rsidRPr="00000000" w14:paraId="00000011">
      <w:pPr>
        <w:spacing w:after="120"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01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desde trabalho foi a produção de compósitos de matriz polimérica utilizando diferentes resíduos de rocha ornamental para possível aplicação na indústria de construção civil.</w:t>
      </w:r>
    </w:p>
    <w:p w:rsidR="00000000" w:rsidDel="00000000" w:rsidP="00000000" w:rsidRDefault="00000000" w:rsidRPr="00000000" w14:paraId="00000014">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Origem dos materiais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Neste trabalho foi utilizado polietileno de alta densidade - PEAD (Braskem) e resíduos oriundos do beneficiamento de rochas ornamentais (Mármore Bege Bahia – BB e Calcário Ornamental do Rio Grande do Norte - CRN), descritos na Tabela 1.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Tabela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Nomenclatura das amostras de PEAD e resíduos de rochas (Bege Bahia – BB e calcário do Rio Grande do Norte – CRN extrusadas.</w:t>
      </w:r>
      <w:r w:rsidDel="00000000" w:rsidR="00000000" w:rsidRPr="00000000">
        <w:rPr>
          <w:rtl w:val="0"/>
        </w:rPr>
      </w:r>
    </w:p>
    <w:tbl>
      <w:tblPr>
        <w:tblStyle w:val="Table1"/>
        <w:tblW w:w="8503.999999999998"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098"/>
        <w:gridCol w:w="1724"/>
        <w:gridCol w:w="1191"/>
        <w:gridCol w:w="2468"/>
        <w:gridCol w:w="2023"/>
        <w:tblGridChange w:id="0">
          <w:tblGrid>
            <w:gridCol w:w="1098"/>
            <w:gridCol w:w="1724"/>
            <w:gridCol w:w="1191"/>
            <w:gridCol w:w="2468"/>
            <w:gridCol w:w="2023"/>
          </w:tblGrid>
        </w:tblGridChange>
      </w:tblGrid>
      <w:tr>
        <w:trPr>
          <w:cantSplit w:val="0"/>
          <w:tblHeader w:val="0"/>
        </w:trPr>
        <w:tc>
          <w:tcPr>
            <w:tcBorders>
              <w:bottom w:color="000000" w:space="0" w:sz="4"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Sigla</w:t>
            </w:r>
          </w:p>
        </w:tc>
        <w:tc>
          <w:tcPr>
            <w:tcBorders>
              <w:bottom w:color="000000"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Componentes da amostra</w:t>
            </w:r>
          </w:p>
        </w:tc>
        <w:tc>
          <w:tcPr>
            <w:tcBorders>
              <w:bottom w:color="000000"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m/m</w:t>
            </w:r>
          </w:p>
        </w:tc>
        <w:tc>
          <w:tcPr>
            <w:tcBorders>
              <w:bottom w:color="000000" w:space="0" w:sz="4" w:val="single"/>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MFI (g/10min)</w:t>
            </w:r>
          </w:p>
        </w:tc>
        <w:tc>
          <w:tcPr>
            <w:tcBorders>
              <w:bottom w:color="000000" w:space="0" w:sz="4"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Diâmetro das cargas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μ</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A1</w:t>
            </w:r>
          </w:p>
        </w:tc>
        <w:tc>
          <w:tcPr>
            <w:tcBorders>
              <w:top w:color="000000" w:space="0" w:sz="4" w:val="single"/>
              <w:bottom w:color="000000" w:space="0" w:sz="4" w:val="single"/>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PEAD/BB </w:t>
            </w:r>
          </w:p>
        </w:tc>
        <w:tc>
          <w:tcPr>
            <w:tcBorders>
              <w:top w:color="000000" w:space="0" w:sz="4" w:val="single"/>
              <w:bottom w:color="000000" w:space="0" w:sz="4" w:val="single"/>
            </w:tcBorders>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bottom w:color="000000" w:space="0" w:sz="4" w:val="single"/>
            </w:tcBorders>
          </w:tcPr>
          <w:p w:rsidR="00000000" w:rsidDel="00000000" w:rsidP="00000000" w:rsidRDefault="00000000" w:rsidRPr="00000000" w14:paraId="00000023">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bottom w:color="000000" w:space="0" w:sz="4" w:val="single"/>
            </w:tcBorders>
          </w:tcPr>
          <w:p w:rsidR="00000000" w:rsidDel="00000000" w:rsidP="00000000" w:rsidRDefault="00000000" w:rsidRPr="00000000" w14:paraId="00000024">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sz w:val="20"/>
                <w:szCs w:val="20"/>
                <w:vertAlign w:val="subscript"/>
                <w:rtl w:val="0"/>
              </w:rPr>
              <w:t xml:space="preserve">1</w:t>
            </w:r>
            <w:r w:rsidDel="00000000" w:rsidR="00000000" w:rsidRPr="00000000">
              <w:rPr>
                <w:rFonts w:ascii="Times New Roman" w:cs="Times New Roman" w:eastAsia="Times New Roman" w:hAnsi="Times New Roman"/>
                <w:sz w:val="20"/>
                <w:szCs w:val="20"/>
                <w:rtl w:val="0"/>
              </w:rPr>
              <w:t xml:space="preserve">&lt;20</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A2</w:t>
            </w:r>
          </w:p>
        </w:tc>
        <w:tc>
          <w:tcPr>
            <w:tcBorders>
              <w:top w:color="000000" w:space="0" w:sz="4" w:val="single"/>
              <w:bottom w:color="000000" w:space="0" w:sz="4" w:val="single"/>
            </w:tcBorders>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PEAD/CRN</w:t>
            </w:r>
          </w:p>
        </w:tc>
        <w:tc>
          <w:tcPr>
            <w:tcBorders>
              <w:top w:color="000000" w:space="0" w:sz="4" w:val="single"/>
              <w:bottom w:color="000000" w:space="0" w:sz="4" w:val="single"/>
            </w:tcBorders>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bottom w:color="000000" w:space="0" w:sz="4" w:val="single"/>
            </w:tcBorders>
          </w:tcPr>
          <w:p w:rsidR="00000000" w:rsidDel="00000000" w:rsidP="00000000" w:rsidRDefault="00000000" w:rsidRPr="00000000" w14:paraId="00000028">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bottom w:color="000000" w:space="0" w:sz="4" w:val="single"/>
            </w:tcBorders>
          </w:tcPr>
          <w:p w:rsidR="00000000" w:rsidDel="00000000" w:rsidP="00000000" w:rsidRDefault="00000000" w:rsidRPr="00000000" w14:paraId="00000029">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&lt;20</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A3</w:t>
            </w:r>
          </w:p>
        </w:tc>
        <w:tc>
          <w:tcPr>
            <w:tcBorders>
              <w:top w:color="000000" w:space="0" w:sz="4" w:val="single"/>
              <w:bottom w:color="000000" w:space="0" w:sz="4" w:val="single"/>
            </w:tcBorders>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PEAD/BB</w:t>
            </w:r>
          </w:p>
        </w:tc>
        <w:tc>
          <w:tcPr>
            <w:tcBorders>
              <w:top w:color="000000" w:space="0" w:sz="4" w:val="single"/>
              <w:bottom w:color="000000" w:space="0" w:sz="4" w:val="single"/>
            </w:tcBorders>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bottom w:color="000000" w:space="0" w:sz="4" w:val="single"/>
            </w:tcBorders>
          </w:tcPr>
          <w:p w:rsidR="00000000" w:rsidDel="00000000" w:rsidP="00000000" w:rsidRDefault="00000000" w:rsidRPr="00000000" w14:paraId="0000002D">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bottom w:color="000000" w:space="0" w:sz="4" w:val="single"/>
            </w:tcBorders>
          </w:tcPr>
          <w:p w:rsidR="00000000" w:rsidDel="00000000" w:rsidP="00000000" w:rsidRDefault="00000000" w:rsidRPr="00000000" w14:paraId="0000002E">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20&lt;D</w:t>
            </w:r>
            <w:r w:rsidDel="00000000" w:rsidR="00000000" w:rsidRPr="00000000">
              <w:rPr>
                <w:rFonts w:ascii="Times New Roman" w:cs="Times New Roman" w:eastAsia="Times New Roman" w:hAnsi="Times New Roman"/>
                <w:sz w:val="20"/>
                <w:szCs w:val="20"/>
                <w:vertAlign w:val="subscript"/>
                <w:rtl w:val="0"/>
              </w:rPr>
              <w:t xml:space="preserve">1</w:t>
            </w:r>
            <w:r w:rsidDel="00000000" w:rsidR="00000000" w:rsidRPr="00000000">
              <w:rPr>
                <w:rFonts w:ascii="Times New Roman" w:cs="Times New Roman" w:eastAsia="Times New Roman" w:hAnsi="Times New Roman"/>
                <w:sz w:val="20"/>
                <w:szCs w:val="20"/>
                <w:rtl w:val="0"/>
              </w:rPr>
              <w:t xml:space="preserve">&lt;44</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A4</w:t>
            </w:r>
          </w:p>
        </w:tc>
        <w:tc>
          <w:tcPr>
            <w:tcBorders>
              <w:top w:color="000000" w:space="0" w:sz="4" w:val="single"/>
              <w:bottom w:color="000000" w:space="0" w:sz="4" w:val="single"/>
            </w:tcBorders>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PEAD/CRN</w:t>
            </w:r>
          </w:p>
        </w:tc>
        <w:tc>
          <w:tcPr>
            <w:tcBorders>
              <w:top w:color="000000" w:space="0" w:sz="4" w:val="single"/>
              <w:bottom w:color="000000" w:space="0" w:sz="4"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bottom w:color="000000" w:space="0" w:sz="4" w:val="single"/>
            </w:tcBorders>
          </w:tcPr>
          <w:p w:rsidR="00000000" w:rsidDel="00000000" w:rsidP="00000000" w:rsidRDefault="00000000" w:rsidRPr="00000000" w14:paraId="00000032">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bottom w:color="000000" w:space="0" w:sz="4" w:val="single"/>
            </w:tcBorders>
          </w:tcPr>
          <w:p w:rsidR="00000000" w:rsidDel="00000000" w:rsidP="00000000" w:rsidRDefault="00000000" w:rsidRPr="00000000" w14:paraId="00000033">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20&lt;D</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&lt;44</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A5</w:t>
            </w:r>
          </w:p>
        </w:tc>
        <w:tc>
          <w:tcPr>
            <w:tcBorders>
              <w:top w:color="000000" w:space="0" w:sz="4" w:val="single"/>
              <w:bottom w:color="000000" w:space="0" w:sz="4" w:val="single"/>
            </w:tcBorders>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PEAD/BB</w:t>
            </w:r>
          </w:p>
        </w:tc>
        <w:tc>
          <w:tcPr>
            <w:tcBorders>
              <w:top w:color="000000" w:space="0" w:sz="4" w:val="single"/>
              <w:bottom w:color="000000" w:space="0" w:sz="4" w:val="single"/>
            </w:tcBorders>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bottom w:color="000000" w:space="0" w:sz="4" w:val="single"/>
            </w:tcBorders>
          </w:tcPr>
          <w:p w:rsidR="00000000" w:rsidDel="00000000" w:rsidP="00000000" w:rsidRDefault="00000000" w:rsidRPr="00000000" w14:paraId="00000037">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bottom w:color="000000" w:space="0" w:sz="4" w:val="single"/>
            </w:tcBorders>
          </w:tcPr>
          <w:p w:rsidR="00000000" w:rsidDel="00000000" w:rsidP="00000000" w:rsidRDefault="00000000" w:rsidRPr="00000000" w14:paraId="00000038">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20&lt;D</w:t>
            </w:r>
            <w:r w:rsidDel="00000000" w:rsidR="00000000" w:rsidRPr="00000000">
              <w:rPr>
                <w:rFonts w:ascii="Times New Roman" w:cs="Times New Roman" w:eastAsia="Times New Roman" w:hAnsi="Times New Roman"/>
                <w:sz w:val="20"/>
                <w:szCs w:val="20"/>
                <w:vertAlign w:val="subscript"/>
                <w:rtl w:val="0"/>
              </w:rPr>
              <w:t xml:space="preserve">1</w:t>
            </w:r>
            <w:r w:rsidDel="00000000" w:rsidR="00000000" w:rsidRPr="00000000">
              <w:rPr>
                <w:rFonts w:ascii="Times New Roman" w:cs="Times New Roman" w:eastAsia="Times New Roman" w:hAnsi="Times New Roman"/>
                <w:sz w:val="20"/>
                <w:szCs w:val="20"/>
                <w:rtl w:val="0"/>
              </w:rPr>
              <w:t xml:space="preserve">&lt;44</w:t>
            </w:r>
          </w:p>
        </w:tc>
      </w:tr>
      <w:tr>
        <w:trPr>
          <w:cantSplit w:val="0"/>
          <w:tblHeader w:val="0"/>
        </w:trPr>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A6</w:t>
            </w:r>
          </w:p>
        </w:tc>
        <w:tc>
          <w:tcPr>
            <w:tcBorders>
              <w:top w:color="000000" w:space="0" w:sz="4" w:val="single"/>
            </w:tcBorders>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PEAD/CRN</w:t>
            </w:r>
          </w:p>
        </w:tc>
        <w:tc>
          <w:tcPr>
            <w:tcBorders>
              <w:top w:color="000000" w:space="0" w:sz="4" w:val="single"/>
            </w:tcBorders>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70/30</w:t>
            </w:r>
          </w:p>
        </w:tc>
        <w:tc>
          <w:tcPr>
            <w:tcBorders>
              <w:top w:color="000000" w:space="0" w:sz="4" w:val="single"/>
            </w:tcBorders>
          </w:tcPr>
          <w:p w:rsidR="00000000" w:rsidDel="00000000" w:rsidP="00000000" w:rsidRDefault="00000000" w:rsidRPr="00000000" w14:paraId="0000003C">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tcBorders>
              <w:top w:color="000000" w:space="0" w:sz="4" w:val="single"/>
            </w:tcBorders>
          </w:tcPr>
          <w:p w:rsidR="00000000" w:rsidDel="00000000" w:rsidP="00000000" w:rsidRDefault="00000000" w:rsidRPr="00000000" w14:paraId="0000003D">
            <w:pPr>
              <w:ind w:lef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20&lt;D</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&lt;44</w:t>
            </w:r>
          </w:p>
        </w:tc>
      </w:tr>
    </w:tbl>
    <w:p w:rsidR="00000000" w:rsidDel="00000000" w:rsidP="00000000" w:rsidRDefault="00000000" w:rsidRPr="00000000" w14:paraId="0000003E">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3.2 Processamento</w:t>
      </w:r>
      <w:r w:rsidDel="00000000" w:rsidR="00000000" w:rsidRPr="00000000">
        <w:rPr>
          <w:rtl w:val="0"/>
        </w:rPr>
      </w:r>
    </w:p>
    <w:p w:rsidR="00000000" w:rsidDel="00000000" w:rsidP="00000000" w:rsidRDefault="00000000" w:rsidRPr="00000000" w14:paraId="0000004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amostras foram processadas em extrusora dupla-rosca (Teck Tril, modelo DCT 20-40), com zonas de temperaturas variando de 190 a 250 ºC desde a alimentação até a saída da matriz e rotação de 30 rpm. Após a extrusão dos materiais, eles foram triturados e acondicionado em dessecador para posterior preparação dos corpos-de-prova para as caracterizações.</w:t>
      </w:r>
    </w:p>
    <w:p w:rsidR="00000000" w:rsidDel="00000000" w:rsidP="00000000" w:rsidRDefault="00000000" w:rsidRPr="00000000" w14:paraId="0000004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3.3 Caracterização dos corpos de prova</w:t>
      </w:r>
      <w:r w:rsidDel="00000000" w:rsidR="00000000" w:rsidRPr="00000000">
        <w:rPr>
          <w:rtl w:val="0"/>
        </w:rPr>
      </w:r>
    </w:p>
    <w:p w:rsidR="00000000" w:rsidDel="00000000" w:rsidP="00000000" w:rsidRDefault="00000000" w:rsidRPr="00000000" w14:paraId="0000004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Foram realizados ensaios de dureza Shore, impacto Izod e avaliação em microscopia eletrônica de varredura (MEV) após o rompimento dos corpos de prova.</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44">
      <w:pPr>
        <w:spacing w:after="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Os resultados do ensaio de dureza estão apresentados na Tabela 2</w:t>
      </w:r>
      <w:r w:rsidDel="00000000" w:rsidR="00000000" w:rsidRPr="00000000">
        <w:rPr>
          <w:rFonts w:ascii="Times New Roman" w:cs="Times New Roman" w:eastAsia="Times New Roman" w:hAnsi="Times New Roman"/>
          <w:color w:val="000000"/>
          <w:rtl w:val="0"/>
        </w:rPr>
        <w:t xml:space="preserve"> e confirmam uma boa homogeneidade da distribuição de cargas na matriz (Chagas </w:t>
      </w:r>
      <w:r w:rsidDel="00000000" w:rsidR="00000000" w:rsidRPr="00000000">
        <w:rPr>
          <w:rFonts w:ascii="Times New Roman" w:cs="Times New Roman" w:eastAsia="Times New Roman" w:hAnsi="Times New Roman"/>
          <w:i w:val="1"/>
          <w:color w:val="000000"/>
          <w:rtl w:val="0"/>
        </w:rPr>
        <w:t xml:space="preserve">et al.</w:t>
      </w:r>
      <w:r w:rsidDel="00000000" w:rsidR="00000000" w:rsidRPr="00000000">
        <w:rPr>
          <w:rFonts w:ascii="Times New Roman" w:cs="Times New Roman" w:eastAsia="Times New Roman" w:hAnsi="Times New Roman"/>
          <w:color w:val="000000"/>
          <w:rtl w:val="0"/>
        </w:rPr>
        <w:t xml:space="preserve">, 2022). Comparando-se a dureza do PEAD virgem (MFI 18g/10min), que é de 50,6 Shore D (Koffi </w:t>
      </w:r>
      <w:r w:rsidDel="00000000" w:rsidR="00000000" w:rsidRPr="00000000">
        <w:rPr>
          <w:rFonts w:ascii="Times New Roman" w:cs="Times New Roman" w:eastAsia="Times New Roman" w:hAnsi="Times New Roman"/>
          <w:i w:val="1"/>
          <w:color w:val="000000"/>
          <w:rtl w:val="0"/>
        </w:rPr>
        <w:t xml:space="preserve">et al.</w:t>
      </w:r>
      <w:r w:rsidDel="00000000" w:rsidR="00000000" w:rsidRPr="00000000">
        <w:rPr>
          <w:rFonts w:ascii="Times New Roman" w:cs="Times New Roman" w:eastAsia="Times New Roman" w:hAnsi="Times New Roman"/>
          <w:color w:val="000000"/>
          <w:rtl w:val="0"/>
        </w:rPr>
        <w:t xml:space="preserve">, 2021), todos as formulações obtiveram valores maiores de dureza com a adição de carga inorgânica. O maior valor de dureza foi encontrado para a amostra A4 (</w:t>
      </w:r>
      <w:r w:rsidDel="00000000" w:rsidR="00000000" w:rsidRPr="00000000">
        <w:rPr>
          <w:rFonts w:ascii="Times New Roman" w:cs="Times New Roman" w:eastAsia="Times New Roman" w:hAnsi="Times New Roman"/>
          <w:rtl w:val="0"/>
        </w:rPr>
        <w:t xml:space="preserve">PEAD, MFI: 7 g/10min/ CRN, 20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 &lt; D</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&lt; 44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Tabela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Resultado do ensaio de dureza das formulações extrusadas.</w:t>
      </w:r>
    </w:p>
    <w:tbl>
      <w:tblPr>
        <w:tblStyle w:val="Table2"/>
        <w:tblW w:w="5245.0" w:type="dxa"/>
        <w:jc w:val="center"/>
        <w:tblBorders>
          <w:top w:color="000000" w:space="0" w:sz="4" w:val="single"/>
          <w:bottom w:color="000000" w:space="0" w:sz="4" w:val="single"/>
        </w:tblBorders>
        <w:tblLayout w:type="fixed"/>
        <w:tblLook w:val="0400"/>
      </w:tblPr>
      <w:tblGrid>
        <w:gridCol w:w="1080"/>
        <w:gridCol w:w="1251"/>
        <w:gridCol w:w="1200"/>
        <w:gridCol w:w="1714"/>
        <w:tblGridChange w:id="0">
          <w:tblGrid>
            <w:gridCol w:w="1080"/>
            <w:gridCol w:w="1251"/>
            <w:gridCol w:w="1200"/>
            <w:gridCol w:w="1714"/>
          </w:tblGrid>
        </w:tblGridChange>
      </w:tblGrid>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4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Amostra</w:t>
            </w:r>
          </w:p>
          <w:p w:rsidR="00000000" w:rsidDel="00000000" w:rsidP="00000000" w:rsidRDefault="00000000" w:rsidRPr="00000000" w14:paraId="00000047">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4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Densidade</w:t>
            </w:r>
          </w:p>
          <w:p w:rsidR="00000000" w:rsidDel="00000000" w:rsidP="00000000" w:rsidRDefault="00000000" w:rsidRPr="00000000" w14:paraId="0000004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g.cm</w:t>
            </w:r>
            <w:r w:rsidDel="00000000" w:rsidR="00000000" w:rsidRPr="00000000">
              <w:rPr>
                <w:rFonts w:ascii="Times New Roman" w:cs="Times New Roman" w:eastAsia="Times New Roman" w:hAnsi="Times New Roman"/>
                <w:color w:val="000000"/>
                <w:vertAlign w:val="superscript"/>
                <w:rtl w:val="0"/>
              </w:rPr>
              <w:t xml:space="preserve">-3</w:t>
            </w: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Dureza</w:t>
            </w:r>
          </w:p>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(Shore D)</w:t>
            </w:r>
          </w:p>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4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Impacto</w:t>
            </w:r>
          </w:p>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Izod (KJ/m</w:t>
            </w:r>
            <w:r w:rsidDel="00000000" w:rsidR="00000000" w:rsidRPr="00000000">
              <w:rPr>
                <w:rFonts w:ascii="Times New Roman" w:cs="Times New Roman" w:eastAsia="Times New Roman" w:hAnsi="Times New Roman"/>
                <w:color w:val="000000"/>
                <w:vertAlign w:val="superscript"/>
                <w:rtl w:val="0"/>
              </w:rPr>
              <w:t xml:space="preserve">2</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rPr>
            </w:pPr>
            <w:r w:rsidDel="00000000" w:rsidR="00000000" w:rsidRPr="00000000">
              <w:rPr>
                <w:rtl w:val="0"/>
              </w:rPr>
            </w:r>
          </w:p>
        </w:tc>
      </w:tr>
      <w:tr>
        <w:trPr>
          <w:cantSplit w:val="0"/>
          <w:trHeight w:val="288" w:hRule="atLeast"/>
          <w:tblHeader w:val="0"/>
        </w:trPr>
        <w:tc>
          <w:tcPr>
            <w:tcBorders>
              <w:top w:color="000000" w:space="0" w:sz="4" w:val="single"/>
            </w:tcBorders>
            <w:vAlign w:val="bottom"/>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A1</w:t>
            </w:r>
          </w:p>
        </w:tc>
        <w:tc>
          <w:tcPr>
            <w:tcBorders>
              <w:top w:color="000000" w:space="0" w:sz="4" w:val="single"/>
            </w:tcBorders>
            <w:vAlign w:val="bottom"/>
          </w:tcPr>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1,068±0,047</w:t>
            </w:r>
          </w:p>
        </w:tc>
        <w:tc>
          <w:tcPr>
            <w:tcBorders>
              <w:top w:color="000000" w:space="0" w:sz="4" w:val="single"/>
            </w:tcBorders>
            <w:vAlign w:val="bottom"/>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57,40±1,14</w:t>
            </w:r>
          </w:p>
        </w:tc>
        <w:tc>
          <w:tcPr>
            <w:tcBorders>
              <w:top w:color="000000" w:space="0" w:sz="4" w:val="single"/>
            </w:tcBorders>
            <w:vAlign w:val="bottom"/>
          </w:tcPr>
          <w:p w:rsidR="00000000" w:rsidDel="00000000" w:rsidP="00000000" w:rsidRDefault="00000000" w:rsidRPr="00000000" w14:paraId="0000005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2,615±0328</w:t>
            </w:r>
          </w:p>
        </w:tc>
      </w:tr>
      <w:tr>
        <w:trPr>
          <w:cantSplit w:val="0"/>
          <w:trHeight w:val="288" w:hRule="atLeast"/>
          <w:tblHeader w:val="0"/>
        </w:trPr>
        <w:tc>
          <w:tcPr>
            <w:vAlign w:val="bottom"/>
          </w:tcPr>
          <w:p w:rsidR="00000000" w:rsidDel="00000000" w:rsidP="00000000" w:rsidRDefault="00000000" w:rsidRPr="00000000" w14:paraId="0000005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A2</w:t>
            </w:r>
          </w:p>
        </w:tc>
        <w:tc>
          <w:tcPr>
            <w:vAlign w:val="bottom"/>
          </w:tcPr>
          <w:p w:rsidR="00000000" w:rsidDel="00000000" w:rsidP="00000000" w:rsidRDefault="00000000" w:rsidRPr="00000000" w14:paraId="0000005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1,143±0,022</w:t>
            </w:r>
          </w:p>
        </w:tc>
        <w:tc>
          <w:tcPr>
            <w:vAlign w:val="bottom"/>
          </w:tcPr>
          <w:p w:rsidR="00000000" w:rsidDel="00000000" w:rsidP="00000000" w:rsidRDefault="00000000" w:rsidRPr="00000000" w14:paraId="0000005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59,00±1,00</w:t>
            </w:r>
          </w:p>
        </w:tc>
        <w:tc>
          <w:tcPr>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2,640±0,140</w:t>
            </w:r>
          </w:p>
        </w:tc>
      </w:tr>
      <w:tr>
        <w:trPr>
          <w:cantSplit w:val="0"/>
          <w:trHeight w:val="288" w:hRule="atLeast"/>
          <w:tblHeader w:val="0"/>
        </w:trPr>
        <w:tc>
          <w:tcPr>
            <w:vAlign w:val="bottom"/>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A3</w:t>
            </w:r>
          </w:p>
        </w:tc>
        <w:tc>
          <w:tcPr>
            <w:vAlign w:val="bottom"/>
          </w:tcPr>
          <w:p w:rsidR="00000000" w:rsidDel="00000000" w:rsidP="00000000" w:rsidRDefault="00000000" w:rsidRPr="00000000" w14:paraId="00000059">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1,145±0,022</w:t>
            </w:r>
          </w:p>
        </w:tc>
        <w:tc>
          <w:tcPr>
            <w:vAlign w:val="bottom"/>
          </w:tcPr>
          <w:p w:rsidR="00000000" w:rsidDel="00000000" w:rsidP="00000000" w:rsidRDefault="00000000" w:rsidRPr="00000000" w14:paraId="0000005A">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59,00±1,00</w:t>
            </w:r>
          </w:p>
        </w:tc>
        <w:tc>
          <w:tcPr>
            <w:vAlign w:val="bottom"/>
          </w:tcPr>
          <w:p w:rsidR="00000000" w:rsidDel="00000000" w:rsidP="00000000" w:rsidRDefault="00000000" w:rsidRPr="00000000" w14:paraId="0000005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3,025</w:t>
            </w:r>
            <w:r w:rsidDel="00000000" w:rsidR="00000000" w:rsidRPr="00000000">
              <w:rPr>
                <w:rFonts w:ascii="Times New Roman" w:cs="Times New Roman" w:eastAsia="Times New Roman" w:hAnsi="Times New Roman"/>
                <w:color w:val="000000"/>
                <w:rtl w:val="0"/>
              </w:rPr>
              <w:t xml:space="preserve">±0,259</w:t>
            </w:r>
            <w:r w:rsidDel="00000000" w:rsidR="00000000" w:rsidRPr="00000000">
              <w:rPr>
                <w:rtl w:val="0"/>
              </w:rPr>
            </w:r>
          </w:p>
        </w:tc>
      </w:tr>
      <w:tr>
        <w:trPr>
          <w:cantSplit w:val="0"/>
          <w:trHeight w:val="288" w:hRule="atLeast"/>
          <w:tblHeader w:val="0"/>
        </w:trPr>
        <w:tc>
          <w:tcPr>
            <w:vAlign w:val="bottom"/>
          </w:tcPr>
          <w:p w:rsidR="00000000" w:rsidDel="00000000" w:rsidP="00000000" w:rsidRDefault="00000000" w:rsidRPr="00000000" w14:paraId="0000005C">
            <w:pPr>
              <w:spacing w:after="0" w:line="240" w:lineRule="auto"/>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A4</w:t>
            </w:r>
          </w:p>
        </w:tc>
        <w:tc>
          <w:tcPr>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1,104±0,018</w:t>
            </w:r>
          </w:p>
        </w:tc>
        <w:tc>
          <w:tcPr>
            <w:vAlign w:val="bottom"/>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59,80±0,45</w:t>
            </w:r>
          </w:p>
        </w:tc>
        <w:tc>
          <w:tcPr>
            <w:vAlign w:val="bottom"/>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3,625±0,087</w:t>
            </w:r>
          </w:p>
        </w:tc>
      </w:tr>
      <w:tr>
        <w:trPr>
          <w:cantSplit w:val="0"/>
          <w:trHeight w:val="288" w:hRule="atLeast"/>
          <w:tblHeader w:val="0"/>
        </w:trPr>
        <w:tc>
          <w:tcPr>
            <w:vAlign w:val="bottom"/>
          </w:tcPr>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A5</w:t>
            </w:r>
          </w:p>
        </w:tc>
        <w:tc>
          <w:tcPr>
            <w:vAlign w:val="bottom"/>
          </w:tcPr>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1,035±0,026</w:t>
            </w:r>
          </w:p>
        </w:tc>
        <w:tc>
          <w:tcPr>
            <w:vAlign w:val="bottom"/>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57,80±0,84</w:t>
            </w:r>
          </w:p>
        </w:tc>
        <w:tc>
          <w:tcPr>
            <w:vAlign w:val="bottom"/>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2,975±0,145</w:t>
            </w:r>
          </w:p>
        </w:tc>
      </w:tr>
      <w:tr>
        <w:trPr>
          <w:cantSplit w:val="0"/>
          <w:trHeight w:val="288" w:hRule="atLeast"/>
          <w:tblHeader w:val="0"/>
        </w:trPr>
        <w:tc>
          <w:tcPr>
            <w:vAlign w:val="bottom"/>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A6</w:t>
            </w:r>
          </w:p>
        </w:tc>
        <w:tc>
          <w:tcPr>
            <w:vAlign w:val="bottom"/>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1,175±0,009</w:t>
            </w:r>
          </w:p>
        </w:tc>
        <w:tc>
          <w:tcPr>
            <w:vAlign w:val="bottom"/>
          </w:tcPr>
          <w:p w:rsidR="00000000" w:rsidDel="00000000" w:rsidP="00000000" w:rsidRDefault="00000000" w:rsidRPr="00000000" w14:paraId="0000006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58,60±0,55</w:t>
            </w:r>
          </w:p>
        </w:tc>
        <w:tc>
          <w:tcPr>
            <w:vAlign w:val="bottom"/>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2,840±0,398</w:t>
            </w:r>
          </w:p>
        </w:tc>
      </w:tr>
    </w:tbl>
    <w:p w:rsidR="00000000" w:rsidDel="00000000" w:rsidP="00000000" w:rsidRDefault="00000000" w:rsidRPr="00000000" w14:paraId="00000068">
      <w:pPr>
        <w:spacing w:after="0" w:before="12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spacing w:after="0" w:before="120" w:line="240" w:lineRule="auto"/>
        <w:ind w:firstLine="567"/>
        <w:jc w:val="both"/>
        <w:rPr/>
      </w:pPr>
      <w:r w:rsidDel="00000000" w:rsidR="00000000" w:rsidRPr="00000000">
        <w:rPr>
          <w:rFonts w:ascii="Times New Roman" w:cs="Times New Roman" w:eastAsia="Times New Roman" w:hAnsi="Times New Roman"/>
          <w:rtl w:val="0"/>
        </w:rPr>
        <w:t xml:space="preserve">Os resultados microscopia eletrônica de varredura após o rompimento dos corpos de prova encontram-se nas Figuras 1 A1-A6. Na propriedade de impacto, o efeito do diâmetro foi mais evidenciado. A amostra A4, composta por PEAD, com MFI de 7 g/10min e diâmetros de BB 20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 &lt; D</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&lt; 44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 apresentou maior resistência ao impacto. </w:t>
      </w:r>
      <w:r w:rsidDel="00000000" w:rsidR="00000000" w:rsidRPr="00000000">
        <w:rPr>
          <w:rtl w:val="0"/>
        </w:rPr>
      </w:r>
    </w:p>
    <w:p w:rsidR="00000000" w:rsidDel="00000000" w:rsidP="00000000" w:rsidRDefault="00000000" w:rsidRPr="00000000" w14:paraId="0000006A">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imagens de microscopia eletrônica corroboram os demais resultados mostrando uma boa aderência das partículas inorgânicas à matriz de PEAD.</w:t>
      </w:r>
    </w:p>
    <w:p w:rsidR="00000000" w:rsidDel="00000000" w:rsidP="00000000" w:rsidRDefault="00000000" w:rsidRPr="00000000" w14:paraId="0000006B">
      <w:pPr>
        <w:spacing w:after="120"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bl>
      <w:tblPr>
        <w:tblStyle w:val="Table3"/>
        <w:tblW w:w="849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7"/>
        <w:gridCol w:w="4247"/>
        <w:tblGridChange w:id="0">
          <w:tblGrid>
            <w:gridCol w:w="4247"/>
            <w:gridCol w:w="4247"/>
          </w:tblGrid>
        </w:tblGridChange>
      </w:tblGrid>
      <w:tr>
        <w:trPr>
          <w:cantSplit w:val="0"/>
          <w:tblHeader w:val="0"/>
        </w:trPr>
        <w:tc>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190375" cy="2016000"/>
                  <wp:effectExtent b="0" l="0" r="0" t="0"/>
                  <wp:docPr id="2128442943"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190375" cy="2016000"/>
                  <wp:effectExtent b="0" l="0" r="0" t="0"/>
                  <wp:docPr id="212844294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6E">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A1</w:t>
            </w:r>
          </w:p>
        </w:tc>
        <w:tc>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A2</w:t>
            </w:r>
          </w:p>
        </w:tc>
      </w:tr>
      <w:tr>
        <w:trPr>
          <w:cantSplit w:val="0"/>
          <w:tblHeader w:val="0"/>
        </w:trPr>
        <w:tc>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190375" cy="2016000"/>
                  <wp:effectExtent b="0" l="0" r="0" t="0"/>
                  <wp:docPr id="2128442944"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1">
            <w:pPr>
              <w:spacing w:after="120" w:before="12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2190375" cy="2016000"/>
                  <wp:effectExtent b="0" l="0" r="0" t="0"/>
                  <wp:docPr id="2128442947"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72">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A3</w:t>
            </w:r>
          </w:p>
        </w:tc>
        <w:tc>
          <w:tcPr/>
          <w:p w:rsidR="00000000" w:rsidDel="00000000" w:rsidP="00000000" w:rsidRDefault="00000000" w:rsidRPr="00000000" w14:paraId="00000073">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A4</w:t>
            </w:r>
          </w:p>
        </w:tc>
      </w:tr>
      <w:tr>
        <w:trPr>
          <w:cantSplit w:val="0"/>
          <w:tblHeader w:val="0"/>
        </w:trPr>
        <w:tc>
          <w:tcPr/>
          <w:p w:rsidR="00000000" w:rsidDel="00000000" w:rsidP="00000000" w:rsidRDefault="00000000" w:rsidRPr="00000000" w14:paraId="00000074">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2190375" cy="2016000"/>
                  <wp:effectExtent b="0" l="0" r="0" t="0"/>
                  <wp:docPr id="2128442946"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5">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2190375" cy="2016000"/>
                  <wp:effectExtent b="0" l="0" r="0" t="0"/>
                  <wp:docPr id="212844294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190375" cy="201600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76">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A5</w:t>
            </w:r>
          </w:p>
        </w:tc>
        <w:tc>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A6</w:t>
            </w:r>
          </w:p>
        </w:tc>
      </w:tr>
    </w:tbl>
    <w:p w:rsidR="00000000" w:rsidDel="00000000" w:rsidP="00000000" w:rsidRDefault="00000000" w:rsidRPr="00000000" w14:paraId="00000078">
      <w:pPr>
        <w:spacing w:after="12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Figura 1:</w:t>
      </w:r>
      <w:r w:rsidDel="00000000" w:rsidR="00000000" w:rsidRPr="00000000">
        <w:rPr>
          <w:rFonts w:ascii="Times New Roman" w:cs="Times New Roman" w:eastAsia="Times New Roman" w:hAnsi="Times New Roman"/>
          <w:rtl w:val="0"/>
        </w:rPr>
        <w:t xml:space="preserve"> MEV das formulações</w:t>
      </w:r>
      <w:r w:rsidDel="00000000" w:rsidR="00000000" w:rsidRPr="00000000">
        <w:rPr>
          <w:rtl w:val="0"/>
        </w:rPr>
      </w:r>
    </w:p>
    <w:p w:rsidR="00000000" w:rsidDel="00000000" w:rsidP="00000000" w:rsidRDefault="00000000" w:rsidRPr="00000000" w14:paraId="00000079">
      <w:pPr>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CONCLUSÕES</w:t>
      </w:r>
    </w:p>
    <w:p w:rsidR="00000000" w:rsidDel="00000000" w:rsidP="00000000" w:rsidRDefault="00000000" w:rsidRPr="00000000" w14:paraId="0000007B">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revestimentos desenvolvidos apresentaram resultados satisfatórios de propriedades mecânicas quando comparados ao PEAD sem carga. A formulação A4, composta por PEAD, com MFI de 7 g/10min e diâmetros de BB 20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 &lt; D</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&lt; 44 </w:t>
      </w:r>
      <w:r w:rsidDel="00000000" w:rsidR="00000000" w:rsidRPr="00000000">
        <w:rPr>
          <w:rFonts w:ascii="Noto Sans Symbols" w:cs="Noto Sans Symbols" w:eastAsia="Noto Sans Symbols" w:hAnsi="Noto Sans Symbols"/>
          <w:rtl w:val="0"/>
        </w:rPr>
        <w:t xml:space="preserve">μ</w:t>
      </w:r>
      <w:r w:rsidDel="00000000" w:rsidR="00000000" w:rsidRPr="00000000">
        <w:rPr>
          <w:rFonts w:ascii="Times New Roman" w:cs="Times New Roman" w:eastAsia="Times New Roman" w:hAnsi="Times New Roman"/>
          <w:rtl w:val="0"/>
        </w:rPr>
        <w:t xml:space="preserve">m, apresentou melhores propriedades, sendo a mais indicada para a aplicação sugerida. O desenvolvimento de um produto acabado permitirá sua ampla aplicação em engenharia civil.</w:t>
      </w:r>
    </w:p>
    <w:p w:rsidR="00000000" w:rsidDel="00000000" w:rsidP="00000000" w:rsidRDefault="00000000" w:rsidRPr="00000000" w14:paraId="0000007C">
      <w:pPr>
        <w:spacing w:after="120" w:before="120" w:line="240" w:lineRule="auto"/>
        <w:jc w:val="both"/>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AGRADECIMENTOS </w:t>
      </w:r>
    </w:p>
    <w:p w:rsidR="00000000" w:rsidDel="00000000" w:rsidP="00000000" w:rsidRDefault="00000000" w:rsidRPr="00000000" w14:paraId="0000007E">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agradecem ao CNPq e à Faperj pelo auxílio financeiro.</w:t>
      </w:r>
    </w:p>
    <w:p w:rsidR="00000000" w:rsidDel="00000000" w:rsidP="00000000" w:rsidRDefault="00000000" w:rsidRPr="00000000" w14:paraId="0000007F">
      <w:pPr>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BIBLIOGRÁFICAS</w:t>
      </w:r>
      <w:r w:rsidDel="00000000" w:rsidR="00000000" w:rsidRPr="00000000">
        <w:rPr>
          <w:rtl w:val="0"/>
        </w:rPr>
      </w:r>
    </w:p>
    <w:p w:rsidR="00000000" w:rsidDel="00000000" w:rsidP="00000000" w:rsidRDefault="00000000" w:rsidRPr="00000000" w14:paraId="00000081">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BAMIGBOYE, G., DAVIES, I., NWANKO, C., MICHAELS, T., ADEYEMI, G., OZUOR,</w:t>
      </w:r>
      <w:r w:rsidDel="00000000" w:rsidR="00000000" w:rsidRPr="00000000">
        <w:rPr>
          <w:rFonts w:ascii="Times New Roman" w:cs="Times New Roman" w:eastAsia="Times New Roman" w:hAnsi="Times New Roman"/>
          <w:rtl w:val="0"/>
        </w:rPr>
        <w:t xml:space="preserve"> O. Innovation in Construction Materials-A Review, IOP Conference Series: </w:t>
      </w:r>
      <w:r w:rsidDel="00000000" w:rsidR="00000000" w:rsidRPr="00000000">
        <w:rPr>
          <w:rFonts w:ascii="Times New Roman" w:cs="Times New Roman" w:eastAsia="Times New Roman" w:hAnsi="Times New Roman"/>
          <w:b w:val="1"/>
          <w:rtl w:val="0"/>
        </w:rPr>
        <w:t xml:space="preserve">Materials Science and Engineering</w:t>
      </w:r>
      <w:r w:rsidDel="00000000" w:rsidR="00000000" w:rsidRPr="00000000">
        <w:rPr>
          <w:rFonts w:ascii="Times New Roman" w:cs="Times New Roman" w:eastAsia="Times New Roman" w:hAnsi="Times New Roman"/>
          <w:rtl w:val="0"/>
        </w:rPr>
        <w:t xml:space="preserve">, v.640, p.012070, 2019. </w:t>
      </w:r>
    </w:p>
    <w:p w:rsidR="00000000" w:rsidDel="00000000" w:rsidP="00000000" w:rsidRDefault="00000000" w:rsidRPr="00000000" w14:paraId="00000082">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CHAGAS G.N., BARROS, M.M., LEÃO, A.G., TAPANES, N.L.C.O., RIBEIRO, R.C.C., BASTOS, D.C.</w:t>
      </w:r>
      <w:r w:rsidDel="00000000" w:rsidR="00000000" w:rsidRPr="00000000">
        <w:rPr>
          <w:rFonts w:ascii="Times New Roman" w:cs="Times New Roman" w:eastAsia="Times New Roman" w:hAnsi="Times New Roman"/>
          <w:rtl w:val="0"/>
        </w:rPr>
        <w:t xml:space="preserve"> A hybrid green composite for automotive industry. </w:t>
      </w:r>
      <w:r w:rsidDel="00000000" w:rsidR="00000000" w:rsidRPr="00000000">
        <w:rPr>
          <w:rFonts w:ascii="Times New Roman" w:cs="Times New Roman" w:eastAsia="Times New Roman" w:hAnsi="Times New Roman"/>
          <w:b w:val="1"/>
          <w:rtl w:val="0"/>
        </w:rPr>
        <w:t xml:space="preserve">Polímeros: Ciência e Tecnologia</w:t>
      </w:r>
      <w:r w:rsidDel="00000000" w:rsidR="00000000" w:rsidRPr="00000000">
        <w:rPr>
          <w:rFonts w:ascii="Times New Roman" w:cs="Times New Roman" w:eastAsia="Times New Roman" w:hAnsi="Times New Roman"/>
          <w:rtl w:val="0"/>
        </w:rPr>
        <w:t xml:space="preserve">, v. 32(2), e2022017, 2022.</w:t>
      </w:r>
    </w:p>
    <w:p w:rsidR="00000000" w:rsidDel="00000000" w:rsidP="00000000" w:rsidRDefault="00000000" w:rsidRPr="00000000" w14:paraId="00000083">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EZZAHRAE M.F., NACER A., LATIFA E., ABDELLAH Z., MOHAMED I., MUSTAPHA J</w:t>
      </w:r>
      <w:r w:rsidDel="00000000" w:rsidR="00000000" w:rsidRPr="00000000">
        <w:rPr>
          <w:rFonts w:ascii="Times New Roman" w:cs="Times New Roman" w:eastAsia="Times New Roman" w:hAnsi="Times New Roman"/>
          <w:rtl w:val="0"/>
        </w:rPr>
        <w:t xml:space="preserve">. Thermal and mechanical properties of a high-density polyethylene (HDPE) composite reinforced with wood flour. </w:t>
      </w:r>
      <w:r w:rsidDel="00000000" w:rsidR="00000000" w:rsidRPr="00000000">
        <w:rPr>
          <w:rFonts w:ascii="Times New Roman" w:cs="Times New Roman" w:eastAsia="Times New Roman" w:hAnsi="Times New Roman"/>
          <w:b w:val="1"/>
          <w:rtl w:val="0"/>
        </w:rPr>
        <w:t xml:space="preserve">Materials Today: Proceedings</w:t>
      </w:r>
      <w:r w:rsidDel="00000000" w:rsidR="00000000" w:rsidRPr="00000000">
        <w:rPr>
          <w:rFonts w:ascii="Times New Roman" w:cs="Times New Roman" w:eastAsia="Times New Roman" w:hAnsi="Times New Roman"/>
          <w:rtl w:val="0"/>
        </w:rPr>
        <w:t xml:space="preserve">, v. 72, p. 3602–3608, 2023.</w:t>
      </w:r>
    </w:p>
    <w:p w:rsidR="00000000" w:rsidDel="00000000" w:rsidP="00000000" w:rsidRDefault="00000000" w:rsidRPr="00000000" w14:paraId="00000084">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JARAMILLO, H.Y., VERA-MORA, M.L., GOMEZ-CAMPERO</w:t>
      </w:r>
      <w:r w:rsidDel="00000000" w:rsidR="00000000" w:rsidRPr="00000000">
        <w:rPr>
          <w:rFonts w:ascii="Times New Roman" w:cs="Times New Roman" w:eastAsia="Times New Roman" w:hAnsi="Times New Roman"/>
          <w:rtl w:val="0"/>
        </w:rPr>
        <w:t xml:space="preserve">, J.A. Creation of handmade bricks with coffee husks and clay, implementing the compressed earth block method. a sustainable alternative for rural communities. </w:t>
      </w:r>
      <w:r w:rsidDel="00000000" w:rsidR="00000000" w:rsidRPr="00000000">
        <w:rPr>
          <w:rFonts w:ascii="Times New Roman" w:cs="Times New Roman" w:eastAsia="Times New Roman" w:hAnsi="Times New Roman"/>
          <w:b w:val="1"/>
          <w:rtl w:val="0"/>
        </w:rPr>
        <w:t xml:space="preserve">Journal of Positive Psychology &amp; Wellbeing</w:t>
      </w:r>
      <w:r w:rsidDel="00000000" w:rsidR="00000000" w:rsidRPr="00000000">
        <w:rPr>
          <w:rFonts w:ascii="Times New Roman" w:cs="Times New Roman" w:eastAsia="Times New Roman" w:hAnsi="Times New Roman"/>
          <w:rtl w:val="0"/>
        </w:rPr>
        <w:t xml:space="preserve">, v.7(1), p.853–861, 2023.</w:t>
      </w:r>
    </w:p>
    <w:p w:rsidR="00000000" w:rsidDel="00000000" w:rsidP="00000000" w:rsidRDefault="00000000" w:rsidRPr="00000000" w14:paraId="00000085">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JIMENEZ-GARCÍA, E.J., ARELLANO-VAZQUEZ, D.A., TITOTTO, S., VILCHIS-NESTOR, A.R., MAYORGA, M., ROMERO-SALAZAR, L., ARTEAGA-ARCOS</w:t>
      </w:r>
      <w:r w:rsidDel="00000000" w:rsidR="00000000" w:rsidRPr="00000000">
        <w:rPr>
          <w:rFonts w:ascii="Times New Roman" w:cs="Times New Roman" w:eastAsia="Times New Roman" w:hAnsi="Times New Roman"/>
          <w:rtl w:val="0"/>
        </w:rPr>
        <w:t xml:space="preserve">, J.C. A low environmental impact admixture for the elaboration of unfired clay building bricks. </w:t>
      </w:r>
      <w:r w:rsidDel="00000000" w:rsidR="00000000" w:rsidRPr="00000000">
        <w:rPr>
          <w:rFonts w:ascii="Times New Roman" w:cs="Times New Roman" w:eastAsia="Times New Roman" w:hAnsi="Times New Roman"/>
          <w:b w:val="1"/>
          <w:rtl w:val="0"/>
        </w:rPr>
        <w:t xml:space="preserve">Construction and Building Materials</w:t>
      </w:r>
      <w:r w:rsidDel="00000000" w:rsidR="00000000" w:rsidRPr="00000000">
        <w:rPr>
          <w:rFonts w:ascii="Times New Roman" w:cs="Times New Roman" w:eastAsia="Times New Roman" w:hAnsi="Times New Roman"/>
          <w:rtl w:val="0"/>
        </w:rPr>
        <w:t xml:space="preserve">, v.407(1), p.133470, 2023.</w:t>
      </w:r>
    </w:p>
    <w:p w:rsidR="00000000" w:rsidDel="00000000" w:rsidP="00000000" w:rsidRDefault="00000000" w:rsidRPr="00000000" w14:paraId="00000086">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BARROS, M.M., de OLIVEIRA, M.F.L., RIBEIRO, R.C.C., BASTOS, D.C., OLIVEIRA, M.G. Ecological bricks from dimension stone waste and polyester resin. </w:t>
      </w:r>
      <w:r w:rsidDel="00000000" w:rsidR="00000000" w:rsidRPr="00000000">
        <w:rPr>
          <w:rFonts w:ascii="Times New Roman" w:cs="Times New Roman" w:eastAsia="Times New Roman" w:hAnsi="Times New Roman"/>
          <w:b w:val="1"/>
          <w:rtl w:val="0"/>
        </w:rPr>
        <w:t xml:space="preserve">Construction and Building Materials</w:t>
      </w:r>
      <w:r w:rsidDel="00000000" w:rsidR="00000000" w:rsidRPr="00000000">
        <w:rPr>
          <w:rFonts w:ascii="Times New Roman" w:cs="Times New Roman" w:eastAsia="Times New Roman" w:hAnsi="Times New Roman"/>
          <w:rtl w:val="0"/>
        </w:rPr>
        <w:t xml:space="preserve">, v.232, p.117252, 2020.</w:t>
      </w:r>
    </w:p>
    <w:p w:rsidR="00000000" w:rsidDel="00000000" w:rsidP="00000000" w:rsidRDefault="00000000" w:rsidRPr="00000000" w14:paraId="00000087">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KOFFI A., KOFFI D., TOUBAL</w:t>
      </w:r>
      <w:r w:rsidDel="00000000" w:rsidR="00000000" w:rsidRPr="00000000">
        <w:rPr>
          <w:rFonts w:ascii="Times New Roman" w:cs="Times New Roman" w:eastAsia="Times New Roman" w:hAnsi="Times New Roman"/>
          <w:rtl w:val="0"/>
        </w:rPr>
        <w:t xml:space="preserve"> L. Mechanical properties and drop-weight impact performance of injection-molded HDPE/birch fiber composites. Polymer Testing, v. 93, p.  106956, 2021.   </w:t>
      </w:r>
    </w:p>
    <w:p w:rsidR="00000000" w:rsidDel="00000000" w:rsidP="00000000" w:rsidRDefault="00000000" w:rsidRPr="00000000" w14:paraId="00000088">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C-MICHALAK, A., CZARNECKI, S., SADOWSKI, L., KR´OLICKA A.</w:t>
      </w:r>
      <w:r w:rsidDel="00000000" w:rsidR="00000000" w:rsidRPr="00000000">
        <w:rPr>
          <w:rFonts w:ascii="Times New Roman" w:cs="Times New Roman" w:eastAsia="Times New Roman" w:hAnsi="Times New Roman"/>
          <w:rtl w:val="0"/>
        </w:rPr>
        <w:t xml:space="preserve"> Recycling of waste limestone powders for the cleaner production of epoxy coatings: Fundamental understanding of the mechanical and microstructural Properties. </w:t>
      </w:r>
      <w:r w:rsidDel="00000000" w:rsidR="00000000" w:rsidRPr="00000000">
        <w:rPr>
          <w:rFonts w:ascii="Times New Roman" w:cs="Times New Roman" w:eastAsia="Times New Roman" w:hAnsi="Times New Roman"/>
          <w:b w:val="1"/>
          <w:rtl w:val="0"/>
        </w:rPr>
        <w:t xml:space="preserve">Journal of Cleaner Production</w:t>
      </w:r>
      <w:r w:rsidDel="00000000" w:rsidR="00000000" w:rsidRPr="00000000">
        <w:rPr>
          <w:rFonts w:ascii="Times New Roman" w:cs="Times New Roman" w:eastAsia="Times New Roman" w:hAnsi="Times New Roman"/>
          <w:rtl w:val="0"/>
        </w:rPr>
        <w:t xml:space="preserve">, v. 372, p. 133828, 2022.</w:t>
      </w:r>
    </w:p>
    <w:p w:rsidR="00000000" w:rsidDel="00000000" w:rsidP="00000000" w:rsidRDefault="00000000" w:rsidRPr="00000000" w14:paraId="00000089">
      <w:pPr>
        <w:spacing w:after="120"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SANTOS R.S., DA SILVEIRA P.H.P.M., BASTOS B.C., DA CONCEIÇÃO M.N., RIBERO R.C.C., BASTOS D.C. </w:t>
      </w:r>
      <w:r w:rsidDel="00000000" w:rsidR="00000000" w:rsidRPr="00000000">
        <w:rPr>
          <w:rFonts w:ascii="Times New Roman" w:cs="Times New Roman" w:eastAsia="Times New Roman" w:hAnsi="Times New Roman"/>
          <w:rtl w:val="0"/>
        </w:rPr>
        <w:t xml:space="preserve">Development of Environmentally Ecofriendly Composites Based on Polypropylene/Bahia Beige Waste: Effect of Reinforcement Content on Physical, Mechanical, Chemical, and Microstructural Properties. </w:t>
      </w:r>
      <w:r w:rsidDel="00000000" w:rsidR="00000000" w:rsidRPr="00000000">
        <w:rPr>
          <w:rFonts w:ascii="Times New Roman" w:cs="Times New Roman" w:eastAsia="Times New Roman" w:hAnsi="Times New Roman"/>
          <w:b w:val="1"/>
          <w:rtl w:val="0"/>
        </w:rPr>
        <w:t xml:space="preserve">Recent Progress in Materials</w:t>
      </w:r>
      <w:r w:rsidDel="00000000" w:rsidR="00000000" w:rsidRPr="00000000">
        <w:rPr>
          <w:rFonts w:ascii="Times New Roman" w:cs="Times New Roman" w:eastAsia="Times New Roman" w:hAnsi="Times New Roman"/>
          <w:rtl w:val="0"/>
        </w:rPr>
        <w:t xml:space="preserve">, v. 5 (3), p. 1-17, 2023</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sectPr>
      <w:footerReference r:id="rId13" w:type="defaul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Impact"/>
  <w:font w:name="Georgia"/>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4047" w:hanging="360"/>
      </w:pPr>
      <w:rPr>
        <w:b w:val="1"/>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1800" w:hanging="1440"/>
      </w:pPr>
      <w:rPr>
        <w:b w:val="0"/>
      </w:rPr>
    </w:lvl>
  </w:abstractNum>
  <w:abstractNum w:abstractNumId="2">
    <w:lvl w:ilvl="0">
      <w:start w:val="4"/>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60" w:before="120" w:line="240" w:lineRule="auto"/>
      <w:jc w:val="center"/>
    </w:pPr>
    <w:rPr>
      <w:rFonts w:ascii="Impact" w:cs="Impact" w:eastAsia="Impact" w:hAnsi="Impact"/>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Afiliao" w:customStyle="1">
    <w:name w:val="Afiliação"/>
    <w:basedOn w:val="Normal"/>
    <w:next w:val="Normal"/>
    <w:rsid w:val="00937C93"/>
    <w:pPr>
      <w:spacing w:after="0" w:line="240" w:lineRule="auto"/>
      <w:jc w:val="center"/>
    </w:pPr>
    <w:rPr>
      <w:rFonts w:ascii="Arial Narrow" w:cs="Times New Roman" w:eastAsia="Times New Roman" w:hAnsi="Arial Narrow"/>
      <w:szCs w:val="24"/>
      <w:lang w:eastAsia="pt-BR"/>
    </w:rPr>
  </w:style>
  <w:style w:type="character" w:styleId="TtuloChar" w:customStyle="1">
    <w:name w:val="Título Char"/>
    <w:basedOn w:val="Fontepargpadro"/>
    <w:link w:val="Ttulo"/>
    <w:rsid w:val="00CD4B16"/>
    <w:rPr>
      <w:rFonts w:ascii="Impact" w:cs="Times New Roman" w:eastAsia="Times New Roman" w:hAnsi="Impact"/>
      <w:sz w:val="28"/>
      <w:szCs w:val="24"/>
      <w:lang w:eastAsia="pt-BR"/>
    </w:rPr>
  </w:style>
  <w:style w:type="table" w:styleId="Tabelacomgrade">
    <w:name w:val="Table Grid"/>
    <w:basedOn w:val="Tabelanormal"/>
    <w:uiPriority w:val="39"/>
    <w:rsid w:val="00C56B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07054B"/>
    <w:pPr>
      <w:ind w:left="720"/>
      <w:contextualSpacing w:val="1"/>
    </w:pPr>
  </w:style>
  <w:style w:type="character" w:styleId="Ttulo1Char" w:customStyle="1">
    <w:name w:val="Título 1 Char"/>
    <w:basedOn w:val="Fontepargpadro"/>
    <w:link w:val="Ttulo1"/>
    <w:rsid w:val="004E01C1"/>
    <w:rPr>
      <w:rFonts w:ascii="Times New Roman" w:cs="Times New Roman" w:eastAsia="Times New Roman" w:hAnsi="Times New Roman"/>
      <w:b w:val="1"/>
      <w:bCs w:val="1"/>
      <w:sz w:val="24"/>
      <w:szCs w:val="24"/>
      <w:lang w:eastAsia="pt-BR"/>
    </w:rPr>
  </w:style>
  <w:style w:type="character" w:styleId="Hyperlink">
    <w:name w:val="Hyperlink"/>
    <w:basedOn w:val="Fontepargpadro"/>
    <w:uiPriority w:val="99"/>
    <w:unhideWhenUsed w:val="1"/>
    <w:rsid w:val="002C189D"/>
    <w:rPr>
      <w:color w:val="0000ff" w:themeColor="hyperlink"/>
      <w:u w:val="single"/>
    </w:rPr>
  </w:style>
  <w:style w:type="paragraph" w:styleId="Cabealho">
    <w:name w:val="header"/>
    <w:basedOn w:val="Normal"/>
    <w:link w:val="CabealhoChar"/>
    <w:uiPriority w:val="99"/>
    <w:unhideWhenUsed w:val="1"/>
    <w:rsid w:val="00BC0F3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C0F3D"/>
  </w:style>
  <w:style w:type="paragraph" w:styleId="Rodap">
    <w:name w:val="footer"/>
    <w:basedOn w:val="Normal"/>
    <w:link w:val="RodapChar"/>
    <w:uiPriority w:val="99"/>
    <w:unhideWhenUsed w:val="1"/>
    <w:rsid w:val="00BC0F3D"/>
    <w:pPr>
      <w:tabs>
        <w:tab w:val="center" w:pos="4252"/>
        <w:tab w:val="right" w:pos="8504"/>
      </w:tabs>
      <w:spacing w:after="0" w:line="240" w:lineRule="auto"/>
    </w:pPr>
  </w:style>
  <w:style w:type="character" w:styleId="RodapChar" w:customStyle="1">
    <w:name w:val="Rodapé Char"/>
    <w:basedOn w:val="Fontepargpadro"/>
    <w:link w:val="Rodap"/>
    <w:uiPriority w:val="99"/>
    <w:rsid w:val="00BC0F3D"/>
  </w:style>
  <w:style w:type="character" w:styleId="Ttulo2Char" w:customStyle="1">
    <w:name w:val="Título 2 Char"/>
    <w:basedOn w:val="Fontepargpadro"/>
    <w:link w:val="Ttulo2"/>
    <w:uiPriority w:val="9"/>
    <w:rsid w:val="008E72EF"/>
    <w:rPr>
      <w:rFonts w:asciiTheme="majorHAnsi" w:cstheme="majorBidi" w:eastAsiaTheme="majorEastAsia" w:hAnsiTheme="majorHAnsi"/>
      <w:b w:val="1"/>
      <w:bCs w:val="1"/>
      <w:color w:val="4f81bd" w:themeColor="accent1"/>
      <w:sz w:val="26"/>
      <w:szCs w:val="26"/>
    </w:rPr>
  </w:style>
  <w:style w:type="paragraph" w:styleId="Figura" w:customStyle="1">
    <w:name w:val="Figura"/>
    <w:basedOn w:val="Corpodetexto2"/>
    <w:next w:val="Legenda"/>
    <w:rsid w:val="008E72EF"/>
    <w:pPr>
      <w:keepNext w:val="1"/>
      <w:spacing w:after="0" w:line="240" w:lineRule="auto"/>
      <w:jc w:val="center"/>
    </w:pPr>
    <w:rPr>
      <w:rFonts w:ascii="Times New Roman" w:cs="Times New Roman" w:eastAsia="Times New Roman" w:hAnsi="Times New Roman"/>
      <w:sz w:val="24"/>
      <w:szCs w:val="20"/>
    </w:rPr>
  </w:style>
  <w:style w:type="paragraph" w:styleId="Corpodetexto2">
    <w:name w:val="Body Text 2"/>
    <w:basedOn w:val="Normal"/>
    <w:link w:val="Corpodetexto2Char"/>
    <w:uiPriority w:val="99"/>
    <w:semiHidden w:val="1"/>
    <w:unhideWhenUsed w:val="1"/>
    <w:rsid w:val="008E72EF"/>
    <w:pPr>
      <w:spacing w:after="120" w:line="480" w:lineRule="auto"/>
    </w:pPr>
  </w:style>
  <w:style w:type="character" w:styleId="Corpodetexto2Char" w:customStyle="1">
    <w:name w:val="Corpo de texto 2 Char"/>
    <w:basedOn w:val="Fontepargpadro"/>
    <w:link w:val="Corpodetexto2"/>
    <w:uiPriority w:val="99"/>
    <w:semiHidden w:val="1"/>
    <w:rsid w:val="008E72EF"/>
  </w:style>
  <w:style w:type="paragraph" w:styleId="Legenda">
    <w:name w:val="caption"/>
    <w:basedOn w:val="Normal"/>
    <w:next w:val="Normal"/>
    <w:uiPriority w:val="35"/>
    <w:semiHidden w:val="1"/>
    <w:unhideWhenUsed w:val="1"/>
    <w:qFormat w:val="1"/>
    <w:rsid w:val="008E72EF"/>
    <w:pPr>
      <w:spacing w:line="240" w:lineRule="auto"/>
    </w:pPr>
    <w:rPr>
      <w:b w:val="1"/>
      <w:bCs w:val="1"/>
      <w:color w:val="4f81bd" w:themeColor="accent1"/>
      <w:sz w:val="18"/>
      <w:szCs w:val="18"/>
    </w:rPr>
  </w:style>
  <w:style w:type="paragraph" w:styleId="Textodebalo">
    <w:name w:val="Balloon Text"/>
    <w:basedOn w:val="Normal"/>
    <w:link w:val="TextodebaloChar"/>
    <w:uiPriority w:val="99"/>
    <w:semiHidden w:val="1"/>
    <w:unhideWhenUsed w:val="1"/>
    <w:rsid w:val="0005471A"/>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05471A"/>
    <w:rPr>
      <w:rFonts w:ascii="Tahoma" w:cs="Tahoma" w:hAnsi="Tahoma"/>
      <w:sz w:val="16"/>
      <w:szCs w:val="16"/>
    </w:rPr>
  </w:style>
  <w:style w:type="paragraph" w:styleId="WasteEngnormal" w:customStyle="1">
    <w:name w:val="WasteEng_normal"/>
    <w:basedOn w:val="Normal"/>
    <w:rsid w:val="00B045E0"/>
    <w:pPr>
      <w:suppressAutoHyphens w:val="1"/>
      <w:spacing w:after="0" w:before="60" w:line="100" w:lineRule="atLeast"/>
      <w:jc w:val="both"/>
    </w:pPr>
    <w:rPr>
      <w:rFonts w:ascii="Times" w:cs="Calibri" w:eastAsia="Times New Roman" w:hAnsi="Times"/>
      <w:sz w:val="24"/>
      <w:lang w:eastAsia="ar-SA" w:val="en-GB"/>
    </w:rPr>
  </w:style>
  <w:style w:type="character" w:styleId="MenoPendente1" w:customStyle="1">
    <w:name w:val="Menção Pendente1"/>
    <w:basedOn w:val="Fontepargpadro"/>
    <w:uiPriority w:val="99"/>
    <w:semiHidden w:val="1"/>
    <w:unhideWhenUsed w:val="1"/>
    <w:rsid w:val="000173C0"/>
    <w:rPr>
      <w:color w:val="605e5c"/>
      <w:shd w:color="auto" w:fill="e1dfdd" w:val="clear"/>
    </w:rPr>
  </w:style>
  <w:style w:type="paragraph" w:styleId="Pr-formataoHTML">
    <w:name w:val="HTML Preformatted"/>
    <w:basedOn w:val="Normal"/>
    <w:link w:val="Pr-formataoHTMLChar"/>
    <w:uiPriority w:val="99"/>
    <w:semiHidden w:val="1"/>
    <w:unhideWhenUsed w:val="1"/>
    <w:rsid w:val="000D2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pt-BR"/>
    </w:rPr>
  </w:style>
  <w:style w:type="character" w:styleId="Pr-formataoHTMLChar" w:customStyle="1">
    <w:name w:val="Pré-formatação HTML Char"/>
    <w:basedOn w:val="Fontepargpadro"/>
    <w:link w:val="Pr-formataoHTML"/>
    <w:uiPriority w:val="99"/>
    <w:semiHidden w:val="1"/>
    <w:rsid w:val="000D2A51"/>
    <w:rPr>
      <w:rFonts w:ascii="Courier New" w:cs="Courier New" w:eastAsia="Times New Roman" w:hAnsi="Courier New"/>
      <w:sz w:val="20"/>
      <w:szCs w:val="20"/>
      <w:lang w:eastAsia="pt-BR"/>
    </w:rPr>
  </w:style>
  <w:style w:type="character" w:styleId="y2iqfc" w:customStyle="1">
    <w:name w:val="y2iqfc"/>
    <w:basedOn w:val="Fontepargpadro"/>
    <w:rsid w:val="000D2A51"/>
  </w:style>
  <w:style w:type="character" w:styleId="anchor-text" w:customStyle="1">
    <w:name w:val="anchor-text"/>
    <w:basedOn w:val="Fontepargpadro"/>
    <w:rsid w:val="00F4678E"/>
  </w:style>
  <w:style w:type="character" w:styleId="Refdecomentrio">
    <w:name w:val="annotation reference"/>
    <w:basedOn w:val="Fontepargpadro"/>
    <w:uiPriority w:val="99"/>
    <w:semiHidden w:val="1"/>
    <w:unhideWhenUsed w:val="1"/>
    <w:rsid w:val="002F00A1"/>
    <w:rPr>
      <w:sz w:val="16"/>
      <w:szCs w:val="16"/>
    </w:rPr>
  </w:style>
  <w:style w:type="paragraph" w:styleId="Textodecomentrio">
    <w:name w:val="annotation text"/>
    <w:basedOn w:val="Normal"/>
    <w:link w:val="TextodecomentrioChar"/>
    <w:uiPriority w:val="99"/>
    <w:unhideWhenUsed w:val="1"/>
    <w:rsid w:val="002F00A1"/>
    <w:pPr>
      <w:spacing w:line="240" w:lineRule="auto"/>
    </w:pPr>
    <w:rPr>
      <w:sz w:val="20"/>
      <w:szCs w:val="20"/>
    </w:rPr>
  </w:style>
  <w:style w:type="character" w:styleId="TextodecomentrioChar" w:customStyle="1">
    <w:name w:val="Texto de comentário Char"/>
    <w:basedOn w:val="Fontepargpadro"/>
    <w:link w:val="Textodecomentrio"/>
    <w:uiPriority w:val="99"/>
    <w:rsid w:val="002F00A1"/>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2F00A1"/>
    <w:rPr>
      <w:b w:val="1"/>
      <w:bCs w:val="1"/>
    </w:rPr>
  </w:style>
  <w:style w:type="character" w:styleId="AssuntodocomentrioChar" w:customStyle="1">
    <w:name w:val="Assunto do comentário Char"/>
    <w:basedOn w:val="TextodecomentrioChar"/>
    <w:link w:val="Assuntodocomentrio"/>
    <w:uiPriority w:val="99"/>
    <w:semiHidden w:val="1"/>
    <w:rsid w:val="002F00A1"/>
    <w:rPr>
      <w:b w:val="1"/>
      <w:bCs w:val="1"/>
      <w:sz w:val="20"/>
      <w:szCs w:val="20"/>
    </w:rPr>
  </w:style>
  <w:style w:type="paragraph" w:styleId="Reviso">
    <w:name w:val="Revision"/>
    <w:hidden w:val="1"/>
    <w:uiPriority w:val="99"/>
    <w:semiHidden w:val="1"/>
    <w:rsid w:val="00C32677"/>
    <w:pPr>
      <w:spacing w:after="0" w:line="240" w:lineRule="auto"/>
    </w:pPr>
  </w:style>
  <w:style w:type="character" w:styleId="Ttulo3Char" w:customStyle="1">
    <w:name w:val="Título 3 Char"/>
    <w:basedOn w:val="Fontepargpadro"/>
    <w:link w:val="Ttulo3"/>
    <w:uiPriority w:val="9"/>
    <w:semiHidden w:val="1"/>
    <w:rsid w:val="00B510EF"/>
    <w:rPr>
      <w:rFonts w:asciiTheme="majorHAnsi" w:cstheme="majorBidi" w:eastAsiaTheme="majorEastAsia" w:hAnsiTheme="majorHAnsi"/>
      <w:color w:val="243f60" w:themeColor="accent1" w:themeShade="00007F"/>
      <w:sz w:val="24"/>
      <w:szCs w:val="24"/>
    </w:rPr>
  </w:style>
  <w:style w:type="paragraph" w:styleId="NormalWeb">
    <w:name w:val="Normal (Web)"/>
    <w:basedOn w:val="Normal"/>
    <w:uiPriority w:val="99"/>
    <w:semiHidden w:val="1"/>
    <w:unhideWhenUsed w:val="1"/>
    <w:rsid w:val="00B510EF"/>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Forte">
    <w:name w:val="Strong"/>
    <w:basedOn w:val="Fontepargpadro"/>
    <w:uiPriority w:val="22"/>
    <w:qFormat w:val="1"/>
    <w:rsid w:val="00B510EF"/>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jpg"/><Relationship Id="rId13" Type="http://schemas.openxmlformats.org/officeDocument/2006/relationships/footer" Target="footer1.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Hg4GEZOhyTfazR5LcnexoQr0Q==">CgMxLjA4AHIhMUY0NTdmOUZkRUcxQUlSTUNoRzA3QTRJNjZFX2RqYTlQ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2025-06-28T15:39:00Z</dcterms:created>
  <dc:creator>mmonte</dc:creator>
</cp:coreProperties>
</file>