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drawingml.chart+xml" PartName="/word/charts/chart1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COMPÓSITOS BIODEGRADÁVEL DE PHBV COM RESÍDUO DE VARVITO A SER APLICADO COMO EMBALAGEM DE HORTIFRUTIGRANJEIROS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Roberto Carlos Ribeiro 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 Laura Gomes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Muito se discute sobre a necessidade da sustentabilidade, principalmente com relação à produção de embalagens plásticas, um dos maiores poluentes presentes na atualidade. Devido à grande estabilidade do material, os plásticos de modo geral podem levar centenas de anos para se decompor por completo, o que acarreta terríveis consequências para o ecossistema. Como consequência, pesquisas vêm sendo feitas para elaboração de tecnologias que mitiguem o impacto causado pelos resíduos plásticos no meio ambiente. Dentre estas inovações, uma interessante alternativa é o uso de resíduos minerais como enriquecimento no compósito, já que estes, quando em degradação no solo, liberam nutrientes, promovendo a recuperação de áreas degradadas e a melhoria da fertilidade do solo. Nesse contexto, o objetivo deste trabalho foi o desenvolvimento de compósito biodegradável para fabricação de embalagens de frutas, utilizando resíduo de varvito na matriz do polímero poli (3-hidroxibutirato-co-3-hidroxivalerato) (PHBV). Para tal, utilizou-se PHBV e resíduo fino da extração do varvito nas concentrações de 2% 4% e 10%, em massa, para produção do compósito. Foram realizadas análise reológica, DSC, FTIR, ensaio de tração e flexão, as quais corroboram a viabilidade de produção de um material biodegradável com resíduo mineral de varvito, em concentrações de 4 a 10%, com aprimoramento na processabilidade e cumprindo o propósito sustentável do projeto, a partir da composição e estrutura do resíduo, que favorece sua degradação em meio favorável a compostagem do material.</w:t>
      </w:r>
    </w:p>
    <w:p w:rsidR="00000000" w:rsidDel="00000000" w:rsidP="00000000" w:rsidRDefault="00000000" w:rsidRPr="00000000" w14:paraId="0000000B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INTRODUÇÃO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Encontrar alternativas sustentáveis para embalagens plásticas é uma tarefa crucial atualmente, pois seu impacto ambiental negativo é significativo. Segundo estudo realizado pelo Fundo Mundial para a Natureza (WWF, 2021), o Brasil é o 4º maior produtor de lixo plástico, reciclando apenas 1%. Segundo as previsões de um estudo realizado pelo Fórum de Davos, haverá, em 2050, mais plástico nos oceanos do que peixes, situação que é reforçada pelo fato que é muito comum que embalagens plásticas sejam utilizadas somente uma única vez e na sequência se tornem resíduo plástico, estes representam quase 6 bilhões de toneladas do lixo produzido entre 1950 a 2015, segundo Reuters Graphics. Portanto, a busca por alternativas sustentáveis é indispensável. Polímeros biodegradáveis surgem como uma solução promissora, oferecendo os mesmos benefícios das embalagens plásticas tradicionais, porém com impacto ambiental reduzido. Esses materiais decompõem-se em 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O, CO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 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devido à ação das enzimas microbiológicas. Além da poluição gerada pelo setor polimérico, a lavra e o beneficiamento de rochas ornamentais geram mais de 80% de resíduos e estudos de aplicação desses resíduos devem ser realizados. O varvito é uma rocha sedimentar rica em minerais como quartzo, feldspato e mica, que pode ser incorporado na matriz de polímeros biodegradáveis de embalagens, contribuindo para a fertilização do solo, aumento da retenção de água e fornecimento gradual de nutrientes essenciais quando aplicados em pilhas de compostagem (Catoni, 2011; Ribeiro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et al.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2011).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OBJETIVOS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objetivo deste trabalho foi utilizar o resíduo do beneficiamento de varvito como carga na matriz do polímero compostável (PHBV) para a produção de embalagens de hortifrutigranjeiras com a finalidade de nutrir as pilhas de compostagem que irão fertilizar os solos.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METODOLOGIA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Foram utilizados resíduos do beneficiamento de varvito, uma rocha sedimentar, formada pela sucessão repetitiva de lâminas ou camadas, comercializada como ardósia de Trombudo Central, oriundo do Estado de Santa Catarina e foi cedida pela empresa Alto Vale Mineração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os quais foram previamente moídos até obter-se pó, de granulometria de 20 µm, a partir do qual foi realizado avaliação química por meio de FRX. A preparação do compósito foi realizada em equipamento de extrusão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Haake Rheomix 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com 6 perfis de zonas de temperatura variando de 140 a 170 ºC, sendo alimentada com o PHBV e o resíduo de varvito.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Foram processados quatro compósitos contendo 0, 2, 4, e 10%, em massa de resíduo de rocha, que foram nomeadas de PHBV00, PHBV02, PHBV04, e PHBV10, respectivamente. Os compósitos foram, então, picotados e prensados a 190°C e resfriados em temperatura ambiente por 10 minutos com pressão de 9 ton. em média, obtendo-se os corpos de prova para os ensaios. A reologia foi realizada em reômetro da marca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Anton Paar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com tempo de análise de 30 minutos, a 180 °C. A Difração de raios-x (DRX) foi realizada no equipamento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Bruker-AXS D4 Endeavor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4 a 80° (2Ɵ). Os ensaios de mecânicos, flexão de 3 pontos e tração, foram realizados em equipamento da marca EMIC com célula de carga de 100 kgf. As curvas de Calorimetria diferencial de varredura (DSC) foram realizadas no equipamento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Instrument DSC Q100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de 0 a 140 °C a 2ª curva de aquecimento e 10°C.min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-1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 isoterma de 2 min. Para análise de espectroscopia do infravermelho por Transformada de Fourier (FTIR), as amostras foram examinadas utilizando um espectrofotômetro modelo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Thermo Scientific Nicolet iS50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equipado com acessório de reflectância total atenuada (ATR) onde foram realizadas 64 varreduras, com resolução de 2 cm⁻¹ na faixa de 4000 a 400 cm⁻¹. Os corpos de prova produzidos (0,3g) foram aplicados em pilhas de compostagem na Universidade Federal Rural onde se verificou diariamente a perda de massa.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RESULTADOS E DISCUSSÕES</w:t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 Tabela1 estão apresentados os resultados da análise química do resíduo mineral onde pode-se observar teores de 1,1% de CaO e 3,2% de MgO, os quais desempenham um importante papel no suprimento de nutrientes essenciais e correção de deficiências no solo.</w:t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Tabela 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FRX do varvito</w:t>
      </w:r>
    </w:p>
    <w:p w:rsidR="00000000" w:rsidDel="00000000" w:rsidP="00000000" w:rsidRDefault="00000000" w:rsidRPr="00000000" w14:paraId="0000001D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</w:rPr>
        <w:drawing>
          <wp:inline distB="0" distT="0" distL="0" distR="0">
            <wp:extent cx="2273908" cy="2949073"/>
            <wp:effectExtent b="0" l="0" r="0" t="0"/>
            <wp:docPr descr="Tabela&#10;&#10;Descrição gerada automaticamente" id="1428037788" name="image1.png"/>
            <a:graphic>
              <a:graphicData uri="http://schemas.openxmlformats.org/drawingml/2006/picture">
                <pic:pic>
                  <pic:nvPicPr>
                    <pic:cNvPr descr="Tabela&#10;&#10;Descrição gerada automaticamente" id="0" name="image1.png"/>
                    <pic:cNvPicPr preferRelativeResize="0"/>
                  </pic:nvPicPr>
                  <pic:blipFill>
                    <a:blip r:embed="rId7"/>
                    <a:srcRect b="1244" l="4843" r="5557" t="3087"/>
                    <a:stretch>
                      <a:fillRect/>
                    </a:stretch>
                  </pic:blipFill>
                  <pic:spPr>
                    <a:xfrm>
                      <a:off x="0" y="0"/>
                      <a:ext cx="2273908" cy="294907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 Figura 1(A) apresentam-se os resultados da viscosidade em função da taxa de cisalhamento das amostras PHBV00-PHBV10. A inclusão do resíduo mineral reduziu a viscosidade nas amostras com 2 e 4% indicando que nestas condições o resíduo atuou como plastificante. Mas a amostra com maior teor, PHBV10, apresentou aumento drástico da viscosidade indicando a possível aglomeração das partículas e possível mudança na dispersão da partícula na matriz de modo que a interação partícula-partícula foi maior. Na Figura 1(B) podem se verificar os resultados obtidos por meio do teste de DSC. Verifica-se que não houve variação na temperatura de transição vítrea (Tg) e na temperatura de cristalização (Tc), pois permaneceram na ordem de 2 e 45°C, respectivamente, em todas as amostras. Já a intensidade do pico de cristalização houve redução nas amostras PHBV04 e PHBV10, sendo uma queda muito acentuada na última amostra. Tal comportamento indica que nesse percentual houve mudança na fase cristalina do polímero.  </w:t>
      </w:r>
    </w:p>
    <w:p w:rsidR="00000000" w:rsidDel="00000000" w:rsidP="00000000" w:rsidRDefault="00000000" w:rsidRPr="00000000" w14:paraId="00000020">
      <w:pPr>
        <w:spacing w:befor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4620726" cy="1863098"/>
            <wp:effectExtent b="0" l="0" r="0" t="0"/>
            <wp:docPr descr="Gráfico" id="1428037790" name="image4.png"/>
            <a:graphic>
              <a:graphicData uri="http://schemas.openxmlformats.org/drawingml/2006/picture">
                <pic:pic>
                  <pic:nvPicPr>
                    <pic:cNvPr descr="Gráfico"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20726" cy="186309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Figura 1: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Viscosidade em função da taxa de cisalhamento (A) e curvas de DSC do segundo aquecimento das amostras PHBV00-PHBV10 (B)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 Figura 2 estão apresentados os resultados da difração de raios-X, na qual se pode verificar a partir dos resultados que as composições apresentam menor pico com a inserção do varvito, indicando que o resíduo mineral não atuou como agente nucleante, ou seja, não causou o aumento, mas a redução da cristalinidade, dificultando a formação de estruturas cristalinas no polímero, corroborando o resultado do DSC.</w:t>
      </w:r>
    </w:p>
    <w:p w:rsidR="00000000" w:rsidDel="00000000" w:rsidP="00000000" w:rsidRDefault="00000000" w:rsidRPr="00000000" w14:paraId="00000023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 Figura 3 está apresentado o resultado do FTIR das amostras e do varvito de modo que se observada a presença dos picos relativos à matriz polimérica (1753, 1283 cm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-1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). Não foi observada a formação de novas bandas em relação às amostras puras, indicando que a interação entre a partícula e polímero não foi química e sim uma interação mecânica e isso facilita a liberação dos nutrientes às pilhas de compostagem, uma vez que estão livres.</w:t>
      </w:r>
    </w:p>
    <w:p w:rsidR="00000000" w:rsidDel="00000000" w:rsidP="00000000" w:rsidRDefault="00000000" w:rsidRPr="00000000" w14:paraId="00000024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437154</wp:posOffset>
            </wp:positionH>
            <wp:positionV relativeFrom="paragraph">
              <wp:posOffset>61596</wp:posOffset>
            </wp:positionV>
            <wp:extent cx="2129773" cy="1682624"/>
            <wp:effectExtent b="0" l="0" r="0" t="0"/>
            <wp:wrapNone/>
            <wp:docPr descr="C:\Users\Biopol\Pictures\DRX PHBV LAURA.JPG" id="1428037789" name="image2.jpg"/>
            <a:graphic>
              <a:graphicData uri="http://schemas.openxmlformats.org/drawingml/2006/picture">
                <pic:pic>
                  <pic:nvPicPr>
                    <pic:cNvPr descr="C:\Users\Biopol\Pictures\DRX PHBV LAURA.JPG"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29773" cy="168262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3171825</wp:posOffset>
            </wp:positionH>
            <wp:positionV relativeFrom="paragraph">
              <wp:posOffset>61596</wp:posOffset>
            </wp:positionV>
            <wp:extent cx="2283055" cy="1710226"/>
            <wp:effectExtent b="0" l="0" r="0" t="0"/>
            <wp:wrapNone/>
            <wp:docPr id="1428037787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83055" cy="171022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5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Figura 2: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DRX do varvito e das amostras PHBV00-PHBV10.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Figura 3: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FTIR das amostras PHBV00-PHBV10</w:t>
      </w:r>
    </w:p>
    <w:p w:rsidR="00000000" w:rsidDel="00000000" w:rsidP="00000000" w:rsidRDefault="00000000" w:rsidRPr="00000000" w14:paraId="0000002A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Figura 4 apresenta os resultados de biodegradação dos compósitos, em gramas, ao longo do tempo, em dias, onde se pode verificar que o PHBV puro apresenta queda substancial de perda de massa após o 25º dia de ensaio e que à medida que se aumenta a carga de varvito a degradação é mais acelerada, observando-se perda de massa mais substancial já no 17º dia de ensaio. Isso ocorre, pois, as cargas adicionadas apresentam interação física com o polímero e a resistência mecânica é reduzida e com isso, a degradação no solo será mais eficaz. Por isso, que a composição com mais varvito PHBV 10 apresentou curva de degradação em cerca de 13 dias.</w:t>
      </w:r>
    </w:p>
    <w:p w:rsidR="00000000" w:rsidDel="00000000" w:rsidP="00000000" w:rsidRDefault="00000000" w:rsidRPr="00000000" w14:paraId="0000002C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3467100" cy="1924050"/>
            <wp:docPr id="1428037786" name=""/>
            <a:graphic>
              <a:graphicData uri="http://schemas.openxmlformats.org/drawingml/2006/chart">
                <c:chart r:id="rId11"/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Figura 4: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Perda de massa dos CPs em função do tempo em pilha de compostagem.</w:t>
      </w:r>
    </w:p>
    <w:p w:rsidR="00000000" w:rsidDel="00000000" w:rsidP="00000000" w:rsidRDefault="00000000" w:rsidRPr="00000000" w14:paraId="0000002E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CONCLUSÕES</w:t>
      </w:r>
    </w:p>
    <w:p w:rsidR="00000000" w:rsidDel="00000000" w:rsidP="00000000" w:rsidRDefault="00000000" w:rsidRPr="00000000" w14:paraId="00000030">
      <w:pPr>
        <w:spacing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 base nos resultados obtidos foi possível determinar os parâmetros de processabilidade do material composto de polímero PHBV com resíduo da lavra e beneficiamento do varvito. Segundo a análise química, o resíduo apresenta teores de potássio e magnésio, que podem facilitar a compostagem, verificados pela análise de FTIR a interação física que corrobora a facilidade de liberação dos nutrientes no solo. Em relação à processabilidade do material, as análises indicaram que até 4% de resíduo há melhora da processabilidade. A cristalinidade da matriz polimérica o resíduo de varvito na concentração de 10% foi muito afetada indicado pela queda acentuada do pico de cristalinidade, corroborando a análise reológica. As embalagens possuem, portanto, viabilidade técnica de produção, configurando alto nível de sustentabilidade, pela sua composição biodegradável e compostável, independente da concentração de varvito, pois a interação é física e facilitada, em apenas 13 dias de ensaio amostras com 10% de carga já se decompõem na composteira.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AGRADECIMENTOS </w:t>
      </w:r>
    </w:p>
    <w:p w:rsidR="00000000" w:rsidDel="00000000" w:rsidP="00000000" w:rsidRDefault="00000000" w:rsidRPr="00000000" w14:paraId="0000003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Ao Cetem, UFRRJ e INT pela infraestrutura, à empresa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Alto Vale Mineração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  CNPq pela bolsa. </w:t>
      </w:r>
    </w:p>
    <w:p w:rsidR="00000000" w:rsidDel="00000000" w:rsidP="00000000" w:rsidRDefault="00000000" w:rsidRPr="00000000" w14:paraId="0000003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REFERÊNCIAS BIBLIOGRÁFICAS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Catoni, S. (2011)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Biossíntese e obtenção de PHB e PHBV plastificados com PEG visando aplicação em liberação controlada de fármacos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UNIVILLE.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Scarr, S. e Hernandez, M. (2019)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Drowning in plastic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Reuters,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https://www.reuters.com/graphics/ENVIRONMENT-PLASTIC/0100B275155/index.html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acessado em: 07/05/2024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Ribeiro, R. C. C., Oliveira, M. G., Arruda, C. M. R, Carrisso, R. C. C e Ribeiro, L., (2011) Processo de formação de compósitos poliméricos utilizando como carga resíduos gerados na lavra e no beneficiamento de mármores e calcários ornamentais, Patente depositada 221109118311, INPI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argrafodaLista">
    <w:name w:val="List Paragraph"/>
    <w:basedOn w:val="Normal"/>
    <w:uiPriority w:val="34"/>
    <w:qFormat w:val="1"/>
    <w:rsid w:val="00207623"/>
    <w:pPr>
      <w:spacing w:after="160" w:line="259" w:lineRule="auto"/>
      <w:ind w:left="720"/>
      <w:contextualSpacing w:val="1"/>
    </w:pPr>
    <w:rPr>
      <w:rFonts w:asciiTheme="minorHAnsi" w:cstheme="minorBidi" w:eastAsiaTheme="minorHAnsi" w:hAnsiTheme="minorHAnsi"/>
      <w:lang w:eastAsia="en-US" w:val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E01446"/>
    <w:pPr>
      <w:spacing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E01446"/>
    <w:rPr>
      <w:rFonts w:ascii="Tahoma" w:cs="Tahoma" w:hAnsi="Tahoma"/>
      <w:sz w:val="16"/>
      <w:szCs w:val="16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2C2C4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2C2C4B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2C2C4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2C2C4B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2C2C4B"/>
    <w:rPr>
      <w:b w:val="1"/>
      <w:bCs w:val="1"/>
      <w:sz w:val="20"/>
      <w:szCs w:val="20"/>
    </w:rPr>
  </w:style>
  <w:style w:type="paragraph" w:styleId="NormalWeb">
    <w:name w:val="Normal (Web)"/>
    <w:basedOn w:val="Normal"/>
    <w:uiPriority w:val="99"/>
    <w:unhideWhenUsed w:val="1"/>
    <w:rsid w:val="00FD799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pt-BR"/>
    </w:rPr>
  </w:style>
  <w:style w:type="character" w:styleId="nfase">
    <w:name w:val="Emphasis"/>
    <w:basedOn w:val="Fontepargpadro"/>
    <w:uiPriority w:val="20"/>
    <w:qFormat w:val="1"/>
    <w:rsid w:val="005B5C82"/>
    <w:rPr>
      <w:i w:val="1"/>
      <w:iCs w:val="1"/>
    </w:rPr>
  </w:style>
  <w:style w:type="paragraph" w:styleId="text-center" w:customStyle="1">
    <w:name w:val="text-center"/>
    <w:basedOn w:val="Normal"/>
    <w:rsid w:val="002268C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pt-BR"/>
    </w:rPr>
  </w:style>
  <w:style w:type="character" w:styleId="smaller" w:customStyle="1">
    <w:name w:val="smaller"/>
    <w:basedOn w:val="Fontepargpadro"/>
    <w:rsid w:val="002268CA"/>
  </w:style>
  <w:style w:type="character" w:styleId="Hyperlink">
    <w:name w:val="Hyperlink"/>
    <w:basedOn w:val="Fontepargpadro"/>
    <w:uiPriority w:val="99"/>
    <w:unhideWhenUsed w:val="1"/>
    <w:rsid w:val="004D35E6"/>
    <w:rPr>
      <w:color w:val="0000ff" w:themeColor="hyperlink"/>
      <w:u w:val="single"/>
    </w:rPr>
  </w:style>
  <w:style w:type="character" w:styleId="MenoPendente1" w:customStyle="1">
    <w:name w:val="Menção Pendente1"/>
    <w:basedOn w:val="Fontepargpadro"/>
    <w:uiPriority w:val="99"/>
    <w:semiHidden w:val="1"/>
    <w:unhideWhenUsed w:val="1"/>
    <w:rsid w:val="004D35E6"/>
    <w:rPr>
      <w:color w:val="605e5c"/>
      <w:shd w:color="auto" w:fill="e1dfdd" w:val="clear"/>
    </w:rPr>
  </w:style>
  <w:style w:type="character" w:styleId="line-clamp-1" w:customStyle="1">
    <w:name w:val="line-clamp-1"/>
    <w:basedOn w:val="Fontepargpadro"/>
    <w:rsid w:val="004A1595"/>
  </w:style>
  <w:style w:type="paragraph" w:styleId="Cabealho">
    <w:name w:val="header"/>
    <w:basedOn w:val="Normal"/>
    <w:link w:val="CabealhoChar"/>
    <w:uiPriority w:val="99"/>
    <w:unhideWhenUsed w:val="1"/>
    <w:rsid w:val="00C51672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C51672"/>
  </w:style>
  <w:style w:type="paragraph" w:styleId="Rodap">
    <w:name w:val="footer"/>
    <w:basedOn w:val="Normal"/>
    <w:link w:val="RodapChar"/>
    <w:uiPriority w:val="99"/>
    <w:unhideWhenUsed w:val="1"/>
    <w:rsid w:val="00C51672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C51672"/>
  </w:style>
  <w:style w:type="paragraph" w:styleId="Reviso">
    <w:name w:val="Revision"/>
    <w:hidden w:val="1"/>
    <w:uiPriority w:val="99"/>
    <w:semiHidden w:val="1"/>
    <w:rsid w:val="008D6202"/>
    <w:pPr>
      <w:spacing w:line="240" w:lineRule="auto"/>
    </w:pPr>
  </w:style>
  <w:style w:type="paragraph" w:styleId="Pr-formataoHTML">
    <w:name w:val="HTML Preformatted"/>
    <w:basedOn w:val="Normal"/>
    <w:link w:val="Pr-formataoHTMLChar"/>
    <w:uiPriority w:val="99"/>
    <w:semiHidden w:val="1"/>
    <w:unhideWhenUsed w:val="1"/>
    <w:rsid w:val="001B2D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cs="Courier New" w:eastAsia="Times New Roman" w:hAnsi="Courier New"/>
      <w:sz w:val="20"/>
      <w:szCs w:val="20"/>
      <w:lang w:val="pt-BR"/>
    </w:rPr>
  </w:style>
  <w:style w:type="character" w:styleId="Pr-formataoHTMLChar" w:customStyle="1">
    <w:name w:val="Pré-formatação HTML Char"/>
    <w:basedOn w:val="Fontepargpadro"/>
    <w:link w:val="Pr-formataoHTML"/>
    <w:uiPriority w:val="99"/>
    <w:semiHidden w:val="1"/>
    <w:rsid w:val="001B2D88"/>
    <w:rPr>
      <w:rFonts w:ascii="Courier New" w:cs="Courier New" w:eastAsia="Times New Roman" w:hAnsi="Courier New"/>
      <w:sz w:val="20"/>
      <w:szCs w:val="20"/>
      <w:lang w:val="pt-BR"/>
    </w:rPr>
  </w:style>
  <w:style w:type="character" w:styleId="y2iqfc" w:customStyle="1">
    <w:name w:val="y2iqfc"/>
    <w:basedOn w:val="Fontepargpadro"/>
    <w:rsid w:val="001B2D88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chart" Target="charts/chart1.xml"/><Relationship Id="rId10" Type="http://schemas.openxmlformats.org/officeDocument/2006/relationships/image" Target="media/image3.jpg"/><Relationship Id="rId12" Type="http://schemas.openxmlformats.org/officeDocument/2006/relationships/hyperlink" Target="https://www.reuters.com/graphics/ENVIRONMENT-PLASTIC/0100B275155/index.html" TargetMode="External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4.png"/></Relationships>
</file>

<file path=word/charts/_rels/chart1.xml.rels><?xml version="1.0" encoding="UTF-8" standalone="yes"?><Relationships xmlns="http://schemas.openxmlformats.org/package/2006/relationships"><Relationship Id="rId1" Type="http://schemas.openxmlformats.org/officeDocument/2006/relationships/oleObject" Target="file:///C:\Users\Roberto\Desktop\JIC%202024%20FINAL\resultados%20laur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peso!$A$2</c:f>
              <c:strCache>
                <c:ptCount val="1"/>
                <c:pt idx="0">
                  <c:v>PHBV 00</c:v>
                </c:pt>
              </c:strCache>
            </c:strRef>
          </c:tx>
          <c:marker>
            <c:symbol val="none"/>
          </c:marker>
          <c:cat>
            <c:numRef>
              <c:f>peso!$B$1:$AE$1</c:f>
              <c:numCache>
                <c:formatCode>General</c:formatCode>
                <c:ptCount val="3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</c:numCache>
            </c:numRef>
          </c:cat>
          <c:val>
            <c:numRef>
              <c:f>peso!$B$2:$AE$2</c:f>
              <c:numCache>
                <c:formatCode>General</c:formatCode>
                <c:ptCount val="30"/>
                <c:pt idx="0">
                  <c:v>0.32200000000000001</c:v>
                </c:pt>
                <c:pt idx="1">
                  <c:v>0.32200000000000001</c:v>
                </c:pt>
                <c:pt idx="2">
                  <c:v>0.32200000000000001</c:v>
                </c:pt>
                <c:pt idx="3">
                  <c:v>0.32200000000000001</c:v>
                </c:pt>
                <c:pt idx="4">
                  <c:v>0.32</c:v>
                </c:pt>
                <c:pt idx="5">
                  <c:v>0.31900000000000001</c:v>
                </c:pt>
                <c:pt idx="6">
                  <c:v>0.31900000000000001</c:v>
                </c:pt>
                <c:pt idx="7">
                  <c:v>0.318</c:v>
                </c:pt>
                <c:pt idx="8">
                  <c:v>0.318</c:v>
                </c:pt>
                <c:pt idx="9">
                  <c:v>0.318</c:v>
                </c:pt>
                <c:pt idx="10">
                  <c:v>0.318</c:v>
                </c:pt>
                <c:pt idx="11">
                  <c:v>0.318</c:v>
                </c:pt>
                <c:pt idx="12">
                  <c:v>0.318</c:v>
                </c:pt>
                <c:pt idx="13">
                  <c:v>0.317</c:v>
                </c:pt>
                <c:pt idx="14">
                  <c:v>0.316</c:v>
                </c:pt>
                <c:pt idx="15">
                  <c:v>0.316</c:v>
                </c:pt>
                <c:pt idx="16">
                  <c:v>0.316</c:v>
                </c:pt>
                <c:pt idx="17">
                  <c:v>0.3</c:v>
                </c:pt>
                <c:pt idx="18">
                  <c:v>0.29899999999999999</c:v>
                </c:pt>
                <c:pt idx="19">
                  <c:v>0.29899999999999999</c:v>
                </c:pt>
                <c:pt idx="20">
                  <c:v>0.29499999999999998</c:v>
                </c:pt>
                <c:pt idx="21">
                  <c:v>0.28999999999999998</c:v>
                </c:pt>
                <c:pt idx="22">
                  <c:v>0.28599999999999998</c:v>
                </c:pt>
                <c:pt idx="23">
                  <c:v>0.28000000000000003</c:v>
                </c:pt>
                <c:pt idx="24">
                  <c:v>0.2</c:v>
                </c:pt>
                <c:pt idx="25">
                  <c:v>0.19</c:v>
                </c:pt>
                <c:pt idx="26">
                  <c:v>0.19</c:v>
                </c:pt>
                <c:pt idx="27">
                  <c:v>0.15</c:v>
                </c:pt>
                <c:pt idx="28">
                  <c:v>0.14000000000000001</c:v>
                </c:pt>
                <c:pt idx="29">
                  <c:v>0.1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086-4563-AD46-780D6C8E490E}"/>
            </c:ext>
          </c:extLst>
        </c:ser>
        <c:ser>
          <c:idx val="1"/>
          <c:order val="1"/>
          <c:tx>
            <c:strRef>
              <c:f>peso!$A$3</c:f>
              <c:strCache>
                <c:ptCount val="1"/>
                <c:pt idx="0">
                  <c:v>PHBV02</c:v>
                </c:pt>
              </c:strCache>
            </c:strRef>
          </c:tx>
          <c:marker>
            <c:symbol val="none"/>
          </c:marker>
          <c:cat>
            <c:numRef>
              <c:f>peso!$B$1:$AE$1</c:f>
              <c:numCache>
                <c:formatCode>General</c:formatCode>
                <c:ptCount val="3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</c:numCache>
            </c:numRef>
          </c:cat>
          <c:val>
            <c:numRef>
              <c:f>peso!$B$3:$AE$3</c:f>
              <c:numCache>
                <c:formatCode>General</c:formatCode>
                <c:ptCount val="30"/>
                <c:pt idx="0">
                  <c:v>0.32600000000000001</c:v>
                </c:pt>
                <c:pt idx="1">
                  <c:v>0.32400000000000001</c:v>
                </c:pt>
                <c:pt idx="2">
                  <c:v>0.32</c:v>
                </c:pt>
                <c:pt idx="3">
                  <c:v>0.31900000000000001</c:v>
                </c:pt>
                <c:pt idx="4">
                  <c:v>0.32</c:v>
                </c:pt>
                <c:pt idx="5">
                  <c:v>0.318</c:v>
                </c:pt>
                <c:pt idx="6">
                  <c:v>0.317</c:v>
                </c:pt>
                <c:pt idx="7">
                  <c:v>0.316</c:v>
                </c:pt>
                <c:pt idx="8">
                  <c:v>0.316</c:v>
                </c:pt>
                <c:pt idx="9">
                  <c:v>0.315</c:v>
                </c:pt>
                <c:pt idx="10">
                  <c:v>0.315</c:v>
                </c:pt>
                <c:pt idx="11">
                  <c:v>0.314</c:v>
                </c:pt>
                <c:pt idx="12">
                  <c:v>0.31</c:v>
                </c:pt>
                <c:pt idx="13">
                  <c:v>0.31</c:v>
                </c:pt>
                <c:pt idx="14">
                  <c:v>0.31</c:v>
                </c:pt>
                <c:pt idx="15">
                  <c:v>0.3</c:v>
                </c:pt>
                <c:pt idx="16">
                  <c:v>0.3</c:v>
                </c:pt>
                <c:pt idx="17">
                  <c:v>0.3</c:v>
                </c:pt>
                <c:pt idx="18">
                  <c:v>0.29799999999999999</c:v>
                </c:pt>
                <c:pt idx="19">
                  <c:v>0.29499999999999998</c:v>
                </c:pt>
                <c:pt idx="20">
                  <c:v>0.28100000000000003</c:v>
                </c:pt>
                <c:pt idx="21">
                  <c:v>0.254</c:v>
                </c:pt>
                <c:pt idx="22">
                  <c:v>0.25</c:v>
                </c:pt>
                <c:pt idx="23">
                  <c:v>0.25</c:v>
                </c:pt>
                <c:pt idx="24">
                  <c:v>0.18</c:v>
                </c:pt>
                <c:pt idx="25">
                  <c:v>0.16</c:v>
                </c:pt>
                <c:pt idx="26">
                  <c:v>0.16</c:v>
                </c:pt>
                <c:pt idx="27">
                  <c:v>0.14000000000000001</c:v>
                </c:pt>
                <c:pt idx="28">
                  <c:v>0.14000000000000001</c:v>
                </c:pt>
                <c:pt idx="29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086-4563-AD46-780D6C8E490E}"/>
            </c:ext>
          </c:extLst>
        </c:ser>
        <c:ser>
          <c:idx val="2"/>
          <c:order val="2"/>
          <c:tx>
            <c:strRef>
              <c:f>peso!$A$4</c:f>
              <c:strCache>
                <c:ptCount val="1"/>
                <c:pt idx="0">
                  <c:v>PHBV04</c:v>
                </c:pt>
              </c:strCache>
            </c:strRef>
          </c:tx>
          <c:marker>
            <c:symbol val="none"/>
          </c:marker>
          <c:cat>
            <c:numRef>
              <c:f>peso!$B$1:$AE$1</c:f>
              <c:numCache>
                <c:formatCode>General</c:formatCode>
                <c:ptCount val="3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</c:numCache>
            </c:numRef>
          </c:cat>
          <c:val>
            <c:numRef>
              <c:f>peso!$B$4:$AE$4</c:f>
              <c:numCache>
                <c:formatCode>General</c:formatCode>
                <c:ptCount val="30"/>
                <c:pt idx="0">
                  <c:v>0.32500000000000001</c:v>
                </c:pt>
                <c:pt idx="1">
                  <c:v>0.32300000000000001</c:v>
                </c:pt>
                <c:pt idx="2">
                  <c:v>0.32300000000000001</c:v>
                </c:pt>
                <c:pt idx="3">
                  <c:v>0.32</c:v>
                </c:pt>
                <c:pt idx="4">
                  <c:v>0.31900000000000001</c:v>
                </c:pt>
                <c:pt idx="5">
                  <c:v>0.31900000000000001</c:v>
                </c:pt>
                <c:pt idx="6">
                  <c:v>0.311</c:v>
                </c:pt>
                <c:pt idx="7">
                  <c:v>0.31</c:v>
                </c:pt>
                <c:pt idx="8">
                  <c:v>0.31</c:v>
                </c:pt>
                <c:pt idx="9">
                  <c:v>0.31</c:v>
                </c:pt>
                <c:pt idx="10">
                  <c:v>0.3</c:v>
                </c:pt>
                <c:pt idx="11">
                  <c:v>0.29899999999999999</c:v>
                </c:pt>
                <c:pt idx="12">
                  <c:v>0.29799999999999999</c:v>
                </c:pt>
                <c:pt idx="13">
                  <c:v>0.29699999999999999</c:v>
                </c:pt>
                <c:pt idx="14">
                  <c:v>0.29599999999999999</c:v>
                </c:pt>
                <c:pt idx="15">
                  <c:v>0.29499999999999998</c:v>
                </c:pt>
                <c:pt idx="16">
                  <c:v>0.28999999999999998</c:v>
                </c:pt>
                <c:pt idx="17">
                  <c:v>0.27</c:v>
                </c:pt>
                <c:pt idx="18">
                  <c:v>0.26</c:v>
                </c:pt>
                <c:pt idx="19">
                  <c:v>0.25</c:v>
                </c:pt>
                <c:pt idx="20">
                  <c:v>0.24</c:v>
                </c:pt>
                <c:pt idx="21">
                  <c:v>0.24</c:v>
                </c:pt>
                <c:pt idx="22">
                  <c:v>0.24299999999999999</c:v>
                </c:pt>
                <c:pt idx="23">
                  <c:v>0.2</c:v>
                </c:pt>
                <c:pt idx="24">
                  <c:v>0.19</c:v>
                </c:pt>
                <c:pt idx="25">
                  <c:v>0.15</c:v>
                </c:pt>
                <c:pt idx="26">
                  <c:v>0.15</c:v>
                </c:pt>
                <c:pt idx="27">
                  <c:v>0.1</c:v>
                </c:pt>
                <c:pt idx="28">
                  <c:v>0.1</c:v>
                </c:pt>
                <c:pt idx="29">
                  <c:v>0.1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086-4563-AD46-780D6C8E490E}"/>
            </c:ext>
          </c:extLst>
        </c:ser>
        <c:ser>
          <c:idx val="3"/>
          <c:order val="3"/>
          <c:tx>
            <c:strRef>
              <c:f>peso!$A$5</c:f>
              <c:strCache>
                <c:ptCount val="1"/>
                <c:pt idx="0">
                  <c:v>PHBV10</c:v>
                </c:pt>
              </c:strCache>
            </c:strRef>
          </c:tx>
          <c:marker>
            <c:symbol val="none"/>
          </c:marker>
          <c:cat>
            <c:numRef>
              <c:f>peso!$B$1:$AE$1</c:f>
              <c:numCache>
                <c:formatCode>General</c:formatCode>
                <c:ptCount val="3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</c:numCache>
            </c:numRef>
          </c:cat>
          <c:val>
            <c:numRef>
              <c:f>peso!$B$5:$AE$5</c:f>
              <c:numCache>
                <c:formatCode>General</c:formatCode>
                <c:ptCount val="30"/>
                <c:pt idx="0">
                  <c:v>0.34</c:v>
                </c:pt>
                <c:pt idx="1">
                  <c:v>0.34</c:v>
                </c:pt>
                <c:pt idx="2">
                  <c:v>0.33300000000000002</c:v>
                </c:pt>
                <c:pt idx="3">
                  <c:v>0.33</c:v>
                </c:pt>
                <c:pt idx="4">
                  <c:v>0.32</c:v>
                </c:pt>
                <c:pt idx="5">
                  <c:v>0.32800000000000001</c:v>
                </c:pt>
                <c:pt idx="6">
                  <c:v>0.32400000000000001</c:v>
                </c:pt>
                <c:pt idx="7">
                  <c:v>0.31</c:v>
                </c:pt>
                <c:pt idx="8">
                  <c:v>0.31</c:v>
                </c:pt>
                <c:pt idx="9">
                  <c:v>0.31</c:v>
                </c:pt>
                <c:pt idx="10">
                  <c:v>0.31</c:v>
                </c:pt>
                <c:pt idx="11">
                  <c:v>0.3</c:v>
                </c:pt>
                <c:pt idx="12">
                  <c:v>0.2</c:v>
                </c:pt>
                <c:pt idx="13">
                  <c:v>0.19</c:v>
                </c:pt>
                <c:pt idx="14">
                  <c:v>0.18</c:v>
                </c:pt>
                <c:pt idx="15">
                  <c:v>0.18</c:v>
                </c:pt>
                <c:pt idx="16">
                  <c:v>0.18</c:v>
                </c:pt>
                <c:pt idx="17">
                  <c:v>0.16</c:v>
                </c:pt>
                <c:pt idx="18">
                  <c:v>0.15</c:v>
                </c:pt>
                <c:pt idx="19">
                  <c:v>0.15</c:v>
                </c:pt>
                <c:pt idx="20">
                  <c:v>0.15</c:v>
                </c:pt>
                <c:pt idx="21">
                  <c:v>0.11</c:v>
                </c:pt>
                <c:pt idx="22">
                  <c:v>0.1</c:v>
                </c:pt>
                <c:pt idx="23">
                  <c:v>0.1</c:v>
                </c:pt>
                <c:pt idx="24">
                  <c:v>0.1</c:v>
                </c:pt>
                <c:pt idx="25">
                  <c:v>0.1</c:v>
                </c:pt>
                <c:pt idx="26">
                  <c:v>0.09</c:v>
                </c:pt>
                <c:pt idx="27">
                  <c:v>0.09</c:v>
                </c:pt>
                <c:pt idx="28">
                  <c:v>0.05</c:v>
                </c:pt>
                <c:pt idx="29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1086-4563-AD46-780D6C8E490E}"/>
            </c:ext>
          </c:extLst>
        </c:ser>
        <c:ser>
          <c:idx val="4"/>
          <c:order val="4"/>
          <c:tx>
            <c:strRef>
              <c:f>peso!#REF!</c:f>
              <c:strCache>
                <c:ptCount val="1"/>
                <c:pt idx="0">
                  <c:v>#REF!</c:v>
                </c:pt>
              </c:strCache>
            </c:strRef>
          </c:tx>
          <c:marker>
            <c:symbol val="none"/>
          </c:marker>
          <c:cat>
            <c:numRef>
              <c:f>peso!$B$1:$AE$1</c:f>
              <c:numCache>
                <c:formatCode>General</c:formatCode>
                <c:ptCount val="3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</c:numCache>
            </c:numRef>
          </c:cat>
          <c:val>
            <c:numRef>
              <c:f>peso!#REF!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1086-4563-AD46-780D6C8E490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08802600"/>
        <c:axId val="508800640"/>
      </c:lineChart>
      <c:catAx>
        <c:axId val="5088026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508800640"/>
        <c:crosses val="autoZero"/>
        <c:auto val="1"/>
        <c:lblAlgn val="ctr"/>
        <c:lblOffset val="100"/>
        <c:noMultiLvlLbl val="0"/>
      </c:catAx>
      <c:valAx>
        <c:axId val="508800640"/>
        <c:scaling>
          <c:orientation val="minMax"/>
          <c:max val="0.60000000000000009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08802600"/>
        <c:crosses val="autoZero"/>
        <c:crossBetween val="between"/>
      </c:valAx>
    </c:plotArea>
    <c:legend>
      <c:legendPos val="r"/>
      <c:legendEntry>
        <c:idx val="4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bRCc0ilzP7SJtcR09LOI0z/7Cg==">CgMxLjA4AHIhMWdrR0M3TUF0YXJxLVJiNlNYZUs0N0JhdXRqeFlGa1FN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2025-06-28T15:34:00Z</dcterms:created>
  <dc:creator>Laura Gomes</dc:creator>
</cp:coreProperties>
</file>